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EBE3C2" w14:textId="77777777" w:rsidR="007D186A" w:rsidRPr="00C4225F" w:rsidRDefault="007D186A" w:rsidP="00C4225F">
      <w:pPr>
        <w:pStyle w:val="Cadrerelief"/>
        <w:pBdr>
          <w:top w:val="single" w:sz="4" w:space="14" w:color="auto" w:shadow="1"/>
          <w:left w:val="single" w:sz="4" w:space="14" w:color="auto" w:shadow="1"/>
          <w:bottom w:val="single" w:sz="4" w:space="14" w:color="auto" w:shadow="1"/>
          <w:right w:val="single" w:sz="4" w:space="14" w:color="auto" w:shadow="1"/>
        </w:pBdr>
        <w:shd w:val="clear" w:color="auto" w:fill="CC0000"/>
        <w:jc w:val="center"/>
        <w:rPr>
          <w:rFonts w:asciiTheme="minorHAnsi" w:hAnsiTheme="minorHAnsi" w:cstheme="minorHAnsi"/>
          <w:b/>
          <w:color w:val="FFFFFF" w:themeColor="background1"/>
          <w:sz w:val="32"/>
        </w:rPr>
      </w:pPr>
      <w:r w:rsidRPr="00C4225F">
        <w:rPr>
          <w:rFonts w:asciiTheme="minorHAnsi" w:hAnsiTheme="minorHAnsi" w:cstheme="minorHAnsi"/>
          <w:b/>
          <w:color w:val="FFFFFF" w:themeColor="background1"/>
          <w:sz w:val="32"/>
        </w:rPr>
        <w:t>REGLEMENT DE LA CONSULTATION</w:t>
      </w:r>
    </w:p>
    <w:p w14:paraId="7CFEEBE0" w14:textId="77777777" w:rsidR="004208DB" w:rsidRDefault="004208DB" w:rsidP="007D186A">
      <w:pPr>
        <w:rPr>
          <w:rFonts w:cstheme="minorHAnsi"/>
        </w:rPr>
      </w:pPr>
    </w:p>
    <w:p w14:paraId="595EE1D3" w14:textId="280A3B0A" w:rsidR="004208DB" w:rsidRDefault="004208DB" w:rsidP="007D186A">
      <w:pPr>
        <w:rPr>
          <w:rFonts w:cstheme="minorHAnsi"/>
        </w:rPr>
      </w:pPr>
    </w:p>
    <w:p w14:paraId="354B59BB" w14:textId="6B760EB6" w:rsidR="004208DB" w:rsidRDefault="00C4225F" w:rsidP="004208DB">
      <w:pPr>
        <w:jc w:val="center"/>
        <w:rPr>
          <w:rFonts w:cstheme="minorHAnsi"/>
        </w:rPr>
      </w:pPr>
      <w:r>
        <w:rPr>
          <w:noProof/>
        </w:rPr>
        <w:drawing>
          <wp:inline distT="0" distB="0" distL="0" distR="0" wp14:anchorId="5AC098AD" wp14:editId="7829823B">
            <wp:extent cx="1905000" cy="1905000"/>
            <wp:effectExtent l="0" t="0" r="0" b="0"/>
            <wp:docPr id="2" name="Image 2"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Police, logo, Graphique&#10;&#10;Description générée automatiquemen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14:paraId="0F08F0F3" w14:textId="77777777" w:rsidR="004208DB" w:rsidRDefault="004208DB" w:rsidP="007D186A">
      <w:pPr>
        <w:rPr>
          <w:rFonts w:cstheme="minorHAnsi"/>
        </w:rPr>
      </w:pPr>
    </w:p>
    <w:tbl>
      <w:tblPr>
        <w:tblStyle w:val="Grilledutableau"/>
        <w:tblW w:w="0" w:type="auto"/>
        <w:tblLook w:val="04A0" w:firstRow="1" w:lastRow="0" w:firstColumn="1" w:lastColumn="0" w:noHBand="0" w:noVBand="1"/>
      </w:tblPr>
      <w:tblGrid>
        <w:gridCol w:w="2547"/>
        <w:gridCol w:w="6515"/>
      </w:tblGrid>
      <w:tr w:rsidR="007D186A" w14:paraId="4E181BA5" w14:textId="77777777" w:rsidTr="004208DB">
        <w:trPr>
          <w:trHeight w:val="1172"/>
        </w:trPr>
        <w:tc>
          <w:tcPr>
            <w:tcW w:w="2547" w:type="dxa"/>
            <w:vAlign w:val="center"/>
          </w:tcPr>
          <w:p w14:paraId="361C6855" w14:textId="27DBC84E" w:rsidR="007D186A" w:rsidRPr="004208DB" w:rsidRDefault="007D186A" w:rsidP="004208DB">
            <w:pPr>
              <w:rPr>
                <w:rFonts w:cstheme="minorHAnsi"/>
                <w:b/>
                <w:bCs/>
                <w:sz w:val="24"/>
                <w:szCs w:val="24"/>
              </w:rPr>
            </w:pPr>
            <w:r w:rsidRPr="004208DB">
              <w:rPr>
                <w:rFonts w:cstheme="minorHAnsi"/>
                <w:b/>
                <w:bCs/>
                <w:sz w:val="24"/>
                <w:szCs w:val="24"/>
              </w:rPr>
              <w:t>Maître de l’ouvrage</w:t>
            </w:r>
          </w:p>
        </w:tc>
        <w:tc>
          <w:tcPr>
            <w:tcW w:w="6515" w:type="dxa"/>
            <w:vAlign w:val="center"/>
          </w:tcPr>
          <w:p w14:paraId="3B926D29" w14:textId="77777777" w:rsidR="007D186A" w:rsidRPr="00BF15EA" w:rsidRDefault="007D186A" w:rsidP="004208DB">
            <w:pPr>
              <w:rPr>
                <w:rFonts w:cstheme="minorHAnsi"/>
                <w:sz w:val="24"/>
                <w:szCs w:val="24"/>
              </w:rPr>
            </w:pPr>
            <w:r w:rsidRPr="00BF15EA">
              <w:rPr>
                <w:rFonts w:cstheme="minorHAnsi"/>
                <w:sz w:val="24"/>
                <w:szCs w:val="24"/>
              </w:rPr>
              <w:t xml:space="preserve">Office de Tourisme Pays </w:t>
            </w:r>
            <w:proofErr w:type="gramStart"/>
            <w:r w:rsidRPr="00BF15EA">
              <w:rPr>
                <w:rFonts w:cstheme="minorHAnsi"/>
                <w:sz w:val="24"/>
                <w:szCs w:val="24"/>
              </w:rPr>
              <w:t>Basque</w:t>
            </w:r>
            <w:proofErr w:type="gramEnd"/>
          </w:p>
          <w:p w14:paraId="4125C528" w14:textId="30FD75A2" w:rsidR="004208DB" w:rsidRPr="00BF15EA" w:rsidRDefault="005D5029" w:rsidP="004208DB">
            <w:pPr>
              <w:rPr>
                <w:rFonts w:cstheme="minorHAnsi"/>
                <w:sz w:val="24"/>
                <w:szCs w:val="24"/>
              </w:rPr>
            </w:pPr>
            <w:r w:rsidRPr="00BF15EA">
              <w:rPr>
                <w:rFonts w:cstheme="minorHAnsi"/>
                <w:sz w:val="24"/>
                <w:szCs w:val="24"/>
              </w:rPr>
              <w:t>20 B</w:t>
            </w:r>
            <w:r w:rsidR="008E6506" w:rsidRPr="00BF15EA">
              <w:rPr>
                <w:rFonts w:cstheme="minorHAnsi"/>
                <w:sz w:val="24"/>
                <w:szCs w:val="24"/>
              </w:rPr>
              <w:t>oulevar</w:t>
            </w:r>
            <w:r w:rsidRPr="00BF15EA">
              <w:rPr>
                <w:rFonts w:cstheme="minorHAnsi"/>
                <w:sz w:val="24"/>
                <w:szCs w:val="24"/>
              </w:rPr>
              <w:t>d Victor Hugo</w:t>
            </w:r>
          </w:p>
          <w:p w14:paraId="7ADB6755" w14:textId="4429FEC7" w:rsidR="005D5029" w:rsidRPr="00BF15EA" w:rsidRDefault="005D5029" w:rsidP="004208DB">
            <w:pPr>
              <w:rPr>
                <w:rFonts w:cstheme="minorHAnsi"/>
                <w:sz w:val="24"/>
                <w:szCs w:val="24"/>
              </w:rPr>
            </w:pPr>
            <w:r w:rsidRPr="00BF15EA">
              <w:rPr>
                <w:rFonts w:cstheme="minorHAnsi"/>
                <w:sz w:val="24"/>
                <w:szCs w:val="24"/>
              </w:rPr>
              <w:t>64500 Saint-Jean-de-Luz</w:t>
            </w:r>
          </w:p>
        </w:tc>
      </w:tr>
      <w:tr w:rsidR="007D186A" w14:paraId="0C0FD43F" w14:textId="77777777" w:rsidTr="004208DB">
        <w:trPr>
          <w:trHeight w:val="1172"/>
        </w:trPr>
        <w:tc>
          <w:tcPr>
            <w:tcW w:w="2547" w:type="dxa"/>
            <w:vAlign w:val="center"/>
          </w:tcPr>
          <w:p w14:paraId="0DE954D9" w14:textId="75166F54" w:rsidR="007D186A" w:rsidRPr="004208DB" w:rsidRDefault="007D186A" w:rsidP="004208DB">
            <w:pPr>
              <w:rPr>
                <w:rFonts w:cstheme="minorHAnsi"/>
                <w:b/>
                <w:bCs/>
                <w:sz w:val="24"/>
                <w:szCs w:val="24"/>
              </w:rPr>
            </w:pPr>
            <w:r w:rsidRPr="004208DB">
              <w:rPr>
                <w:rFonts w:cstheme="minorHAnsi"/>
                <w:b/>
                <w:bCs/>
                <w:sz w:val="24"/>
                <w:szCs w:val="24"/>
              </w:rPr>
              <w:t>Objet du marché</w:t>
            </w:r>
          </w:p>
        </w:tc>
        <w:tc>
          <w:tcPr>
            <w:tcW w:w="6515" w:type="dxa"/>
            <w:vAlign w:val="center"/>
          </w:tcPr>
          <w:p w14:paraId="4B68BC62" w14:textId="3B15D61D" w:rsidR="007D186A" w:rsidRPr="00BF15EA" w:rsidRDefault="000738BB" w:rsidP="004208DB">
            <w:pPr>
              <w:rPr>
                <w:rFonts w:cstheme="minorHAnsi"/>
                <w:sz w:val="24"/>
                <w:szCs w:val="24"/>
              </w:rPr>
            </w:pPr>
            <w:r w:rsidRPr="00BF15EA">
              <w:rPr>
                <w:rFonts w:cstheme="minorHAnsi"/>
                <w:sz w:val="24"/>
                <w:szCs w:val="24"/>
              </w:rPr>
              <w:t>Nettoyage de locaux et vitrages</w:t>
            </w:r>
            <w:r w:rsidR="007D186A" w:rsidRPr="00BF15EA">
              <w:rPr>
                <w:rFonts w:cstheme="minorHAnsi"/>
                <w:sz w:val="24"/>
                <w:szCs w:val="24"/>
              </w:rPr>
              <w:t xml:space="preserve"> de l’Office de Tourisme Pays </w:t>
            </w:r>
            <w:proofErr w:type="gramStart"/>
            <w:r w:rsidR="007D186A" w:rsidRPr="00BF15EA">
              <w:rPr>
                <w:rFonts w:cstheme="minorHAnsi"/>
                <w:sz w:val="24"/>
                <w:szCs w:val="24"/>
              </w:rPr>
              <w:t>Basque</w:t>
            </w:r>
            <w:proofErr w:type="gramEnd"/>
          </w:p>
        </w:tc>
      </w:tr>
      <w:tr w:rsidR="007D186A" w14:paraId="749AAB8F" w14:textId="77777777" w:rsidTr="004208DB">
        <w:trPr>
          <w:trHeight w:val="1172"/>
        </w:trPr>
        <w:tc>
          <w:tcPr>
            <w:tcW w:w="2547" w:type="dxa"/>
            <w:vAlign w:val="center"/>
          </w:tcPr>
          <w:p w14:paraId="564E23CA" w14:textId="241006E6" w:rsidR="007D186A" w:rsidRPr="004208DB" w:rsidRDefault="007D186A" w:rsidP="004208DB">
            <w:pPr>
              <w:rPr>
                <w:rFonts w:cstheme="minorHAnsi"/>
                <w:b/>
                <w:bCs/>
                <w:sz w:val="24"/>
                <w:szCs w:val="24"/>
              </w:rPr>
            </w:pPr>
            <w:r w:rsidRPr="004208DB">
              <w:rPr>
                <w:rFonts w:cstheme="minorHAnsi"/>
                <w:b/>
                <w:bCs/>
                <w:sz w:val="24"/>
                <w:szCs w:val="24"/>
              </w:rPr>
              <w:t>Procédure</w:t>
            </w:r>
          </w:p>
        </w:tc>
        <w:tc>
          <w:tcPr>
            <w:tcW w:w="6515" w:type="dxa"/>
            <w:vAlign w:val="center"/>
          </w:tcPr>
          <w:p w14:paraId="0EBFF159" w14:textId="12B211E9" w:rsidR="007D186A" w:rsidRPr="00BF15EA" w:rsidRDefault="007D186A" w:rsidP="004208DB">
            <w:pPr>
              <w:rPr>
                <w:rFonts w:cstheme="minorHAnsi"/>
                <w:sz w:val="24"/>
                <w:szCs w:val="24"/>
              </w:rPr>
            </w:pPr>
            <w:r w:rsidRPr="00BF15EA">
              <w:rPr>
                <w:rFonts w:cstheme="minorHAnsi"/>
                <w:sz w:val="24"/>
                <w:szCs w:val="24"/>
              </w:rPr>
              <w:t>PROCEDURE ADAPTEE passé en application de l’article L 2123-1 et suivants du Code de la Commande Publique résultant du Décret n°2018-1075 du 3 décembre 2018 et de l’Ordonnance n°2018-1074 du 26 novembre 2018</w:t>
            </w:r>
            <w:r w:rsidR="00CE7C7D" w:rsidRPr="00BF15EA">
              <w:rPr>
                <w:rFonts w:cstheme="minorHAnsi"/>
                <w:sz w:val="24"/>
                <w:szCs w:val="24"/>
              </w:rPr>
              <w:t xml:space="preserve"> </w:t>
            </w:r>
          </w:p>
        </w:tc>
      </w:tr>
      <w:tr w:rsidR="009473D9" w14:paraId="46B0E5D4" w14:textId="77777777" w:rsidTr="002E40C4">
        <w:trPr>
          <w:trHeight w:val="1172"/>
        </w:trPr>
        <w:tc>
          <w:tcPr>
            <w:tcW w:w="2547" w:type="dxa"/>
          </w:tcPr>
          <w:p w14:paraId="5554DF61" w14:textId="77777777" w:rsidR="009473D9" w:rsidRDefault="009473D9" w:rsidP="00211909">
            <w:pPr>
              <w:rPr>
                <w:rFonts w:cstheme="minorHAnsi"/>
                <w:b/>
                <w:bCs/>
                <w:sz w:val="24"/>
                <w:szCs w:val="24"/>
              </w:rPr>
            </w:pPr>
          </w:p>
          <w:p w14:paraId="7D1A3EA1" w14:textId="33296001" w:rsidR="009473D9" w:rsidRPr="009473D9" w:rsidRDefault="009473D9" w:rsidP="00211909">
            <w:pPr>
              <w:rPr>
                <w:rFonts w:cstheme="minorHAnsi"/>
                <w:b/>
                <w:bCs/>
                <w:sz w:val="24"/>
                <w:szCs w:val="24"/>
              </w:rPr>
            </w:pPr>
            <w:r w:rsidRPr="009473D9">
              <w:rPr>
                <w:rFonts w:cstheme="minorHAnsi"/>
                <w:b/>
                <w:bCs/>
                <w:sz w:val="24"/>
                <w:szCs w:val="24"/>
              </w:rPr>
              <w:t xml:space="preserve">Date limite </w:t>
            </w:r>
          </w:p>
          <w:p w14:paraId="72E1ACD5" w14:textId="77777777" w:rsidR="009473D9" w:rsidRPr="009473D9" w:rsidRDefault="009473D9" w:rsidP="00211909">
            <w:pPr>
              <w:rPr>
                <w:rFonts w:cstheme="minorHAnsi"/>
                <w:b/>
                <w:bCs/>
                <w:sz w:val="24"/>
                <w:szCs w:val="24"/>
              </w:rPr>
            </w:pPr>
            <w:proofErr w:type="gramStart"/>
            <w:r w:rsidRPr="009473D9">
              <w:rPr>
                <w:rFonts w:cstheme="minorHAnsi"/>
                <w:b/>
                <w:bCs/>
                <w:sz w:val="24"/>
                <w:szCs w:val="24"/>
              </w:rPr>
              <w:t>de</w:t>
            </w:r>
            <w:proofErr w:type="gramEnd"/>
            <w:r w:rsidRPr="009473D9">
              <w:rPr>
                <w:rFonts w:cstheme="minorHAnsi"/>
                <w:b/>
                <w:bCs/>
                <w:sz w:val="24"/>
                <w:szCs w:val="24"/>
              </w:rPr>
              <w:t xml:space="preserve"> remise des offres</w:t>
            </w:r>
          </w:p>
        </w:tc>
        <w:tc>
          <w:tcPr>
            <w:tcW w:w="6515" w:type="dxa"/>
          </w:tcPr>
          <w:p w14:paraId="3DC3DC8D" w14:textId="77777777" w:rsidR="009473D9" w:rsidRPr="00BF15EA" w:rsidRDefault="009473D9" w:rsidP="00211909">
            <w:pPr>
              <w:rPr>
                <w:rFonts w:ascii="Calibri" w:hAnsi="Calibri" w:cs="Calibri"/>
              </w:rPr>
            </w:pPr>
          </w:p>
          <w:p w14:paraId="593B4501" w14:textId="77777777" w:rsidR="002E40C4" w:rsidRPr="00BF15EA" w:rsidRDefault="002E40C4" w:rsidP="00211909">
            <w:pPr>
              <w:rPr>
                <w:rFonts w:ascii="Calibri" w:hAnsi="Calibri" w:cs="Calibri"/>
                <w:sz w:val="16"/>
                <w:szCs w:val="16"/>
              </w:rPr>
            </w:pPr>
          </w:p>
          <w:p w14:paraId="56B05B71" w14:textId="7164E272" w:rsidR="002E40C4" w:rsidRPr="00BF15EA" w:rsidRDefault="00BF15EA" w:rsidP="00211909">
            <w:pPr>
              <w:rPr>
                <w:rFonts w:ascii="Calibri" w:hAnsi="Calibri" w:cs="Calibri"/>
                <w:sz w:val="24"/>
                <w:szCs w:val="24"/>
              </w:rPr>
            </w:pPr>
            <w:r w:rsidRPr="00BF15EA">
              <w:rPr>
                <w:rFonts w:ascii="Calibri" w:hAnsi="Calibri" w:cs="Calibri"/>
                <w:sz w:val="24"/>
                <w:szCs w:val="24"/>
              </w:rPr>
              <w:t>Vendredi 31</w:t>
            </w:r>
            <w:r w:rsidR="002E40C4" w:rsidRPr="00BF15EA">
              <w:rPr>
                <w:rFonts w:ascii="Calibri" w:hAnsi="Calibri" w:cs="Calibri"/>
                <w:sz w:val="24"/>
                <w:szCs w:val="24"/>
              </w:rPr>
              <w:t xml:space="preserve"> </w:t>
            </w:r>
            <w:proofErr w:type="gramStart"/>
            <w:r w:rsidR="002E40C4" w:rsidRPr="00BF15EA">
              <w:rPr>
                <w:rFonts w:ascii="Calibri" w:hAnsi="Calibri" w:cs="Calibri"/>
                <w:sz w:val="24"/>
                <w:szCs w:val="24"/>
              </w:rPr>
              <w:t>Octobre</w:t>
            </w:r>
            <w:proofErr w:type="gramEnd"/>
            <w:r w:rsidR="002E40C4" w:rsidRPr="00BF15EA">
              <w:rPr>
                <w:rFonts w:ascii="Calibri" w:hAnsi="Calibri" w:cs="Calibri"/>
                <w:sz w:val="24"/>
                <w:szCs w:val="24"/>
              </w:rPr>
              <w:t xml:space="preserve"> 202</w:t>
            </w:r>
            <w:r w:rsidR="000738BB" w:rsidRPr="00BF15EA">
              <w:rPr>
                <w:rFonts w:ascii="Calibri" w:hAnsi="Calibri" w:cs="Calibri"/>
                <w:sz w:val="24"/>
                <w:szCs w:val="24"/>
              </w:rPr>
              <w:t>5</w:t>
            </w:r>
            <w:r w:rsidR="002E40C4" w:rsidRPr="00BF15EA">
              <w:rPr>
                <w:rFonts w:ascii="Calibri" w:hAnsi="Calibri" w:cs="Calibri"/>
                <w:sz w:val="24"/>
                <w:szCs w:val="24"/>
              </w:rPr>
              <w:t xml:space="preserve"> à 12h</w:t>
            </w:r>
          </w:p>
        </w:tc>
      </w:tr>
    </w:tbl>
    <w:p w14:paraId="18D2F8C3" w14:textId="5AABF36D" w:rsidR="004208DB" w:rsidRDefault="004208DB" w:rsidP="007D186A">
      <w:pPr>
        <w:rPr>
          <w:rFonts w:cstheme="minorHAnsi"/>
        </w:rPr>
      </w:pPr>
    </w:p>
    <w:p w14:paraId="11A678FD" w14:textId="3A7C33F7" w:rsidR="004208DB" w:rsidRDefault="004208DB" w:rsidP="007D186A">
      <w:pPr>
        <w:rPr>
          <w:rFonts w:cstheme="minorHAnsi"/>
        </w:rPr>
      </w:pPr>
    </w:p>
    <w:p w14:paraId="7CB8070C" w14:textId="340A5DFC" w:rsidR="004208DB" w:rsidRDefault="004208DB" w:rsidP="004208DB">
      <w:pPr>
        <w:jc w:val="center"/>
        <w:rPr>
          <w:rFonts w:cstheme="minorHAnsi"/>
          <w:b/>
          <w:bCs/>
          <w:color w:val="800000"/>
          <w:sz w:val="32"/>
          <w:szCs w:val="32"/>
        </w:rPr>
      </w:pPr>
    </w:p>
    <w:p w14:paraId="0CC46CE8" w14:textId="77777777" w:rsidR="009473D9" w:rsidRPr="00773624" w:rsidRDefault="009473D9" w:rsidP="004208DB">
      <w:pPr>
        <w:jc w:val="center"/>
        <w:rPr>
          <w:rFonts w:cstheme="minorHAnsi"/>
          <w:sz w:val="36"/>
          <w:szCs w:val="36"/>
        </w:rPr>
      </w:pPr>
    </w:p>
    <w:p w14:paraId="3AF3576A" w14:textId="5194985D" w:rsidR="004208DB" w:rsidRDefault="004208DB" w:rsidP="004208DB">
      <w:pPr>
        <w:rPr>
          <w:b/>
          <w:bCs/>
        </w:rPr>
      </w:pPr>
    </w:p>
    <w:p w14:paraId="4CA61242" w14:textId="1A174C17" w:rsidR="004208DB" w:rsidRDefault="004208DB" w:rsidP="004208DB">
      <w:pPr>
        <w:rPr>
          <w:b/>
          <w:bCs/>
        </w:rPr>
      </w:pPr>
    </w:p>
    <w:p w14:paraId="0ACEC73B" w14:textId="39BDD0BD" w:rsidR="004208DB" w:rsidRDefault="004208DB" w:rsidP="004208DB">
      <w:pPr>
        <w:rPr>
          <w:b/>
          <w:bCs/>
        </w:rPr>
      </w:pPr>
    </w:p>
    <w:p w14:paraId="41FDC63D" w14:textId="47A48924" w:rsidR="004208DB" w:rsidRPr="00FE0BE4" w:rsidRDefault="00FE0BE4" w:rsidP="004208DB">
      <w:pPr>
        <w:jc w:val="center"/>
        <w:rPr>
          <w:b/>
          <w:bCs/>
          <w:u w:val="single"/>
        </w:rPr>
      </w:pPr>
      <w:r w:rsidRPr="00FE0BE4">
        <w:rPr>
          <w:b/>
          <w:bCs/>
          <w:u w:val="single"/>
        </w:rPr>
        <w:lastRenderedPageBreak/>
        <w:t>SOMMAIRE</w:t>
      </w:r>
    </w:p>
    <w:p w14:paraId="6EE1F3E8" w14:textId="112DB259" w:rsidR="004208DB" w:rsidRDefault="004208DB" w:rsidP="00FE0BE4">
      <w:pPr>
        <w:rPr>
          <w:b/>
          <w:bCs/>
          <w:color w:val="FF0000"/>
          <w:highlight w:val="yellow"/>
        </w:rPr>
      </w:pPr>
    </w:p>
    <w:p w14:paraId="17439DB0" w14:textId="77777777" w:rsidR="00FE0BE4" w:rsidRDefault="00FE0BE4" w:rsidP="00FE0BE4">
      <w:pPr>
        <w:rPr>
          <w:b/>
          <w:bCs/>
          <w:color w:val="FF0000"/>
          <w:highlight w:val="yellow"/>
        </w:rPr>
      </w:pPr>
    </w:p>
    <w:p w14:paraId="4AA73A2D" w14:textId="33AB70C2" w:rsidR="00F76E2D" w:rsidRPr="00873B9B" w:rsidRDefault="00F76E2D" w:rsidP="00FE0BE4">
      <w:pPr>
        <w:spacing w:after="0" w:line="240" w:lineRule="auto"/>
      </w:pPr>
      <w:r w:rsidRPr="00873B9B">
        <w:t xml:space="preserve">Article 1 - Identification du souscripteur </w:t>
      </w:r>
    </w:p>
    <w:p w14:paraId="5311A348" w14:textId="77777777" w:rsidR="00FE0BE4" w:rsidRPr="00873B9B" w:rsidRDefault="00FE0BE4" w:rsidP="00FE0BE4">
      <w:pPr>
        <w:spacing w:after="0" w:line="240" w:lineRule="auto"/>
      </w:pPr>
    </w:p>
    <w:p w14:paraId="29E493C8" w14:textId="0CFF6373" w:rsidR="00F76E2D" w:rsidRPr="00873B9B" w:rsidRDefault="00F76E2D" w:rsidP="00FE0BE4">
      <w:pPr>
        <w:spacing w:after="0" w:line="240" w:lineRule="auto"/>
      </w:pPr>
      <w:r w:rsidRPr="00873B9B">
        <w:t xml:space="preserve">Article 2 - Objet du marché </w:t>
      </w:r>
    </w:p>
    <w:p w14:paraId="410630E1" w14:textId="66B1F511" w:rsidR="00F76E2D" w:rsidRPr="00873B9B" w:rsidRDefault="00F76E2D" w:rsidP="00FE0BE4">
      <w:pPr>
        <w:spacing w:after="0" w:line="240" w:lineRule="auto"/>
      </w:pPr>
      <w:r w:rsidRPr="00873B9B">
        <w:t xml:space="preserve">2.1 – Objet du marché </w:t>
      </w:r>
    </w:p>
    <w:p w14:paraId="3FD0C8F2" w14:textId="77777777" w:rsidR="00F76E2D" w:rsidRPr="00873B9B" w:rsidRDefault="00F76E2D" w:rsidP="00FE0BE4">
      <w:pPr>
        <w:spacing w:after="0" w:line="240" w:lineRule="auto"/>
      </w:pPr>
      <w:r w:rsidRPr="00873B9B">
        <w:t>2.2 – Variantes</w:t>
      </w:r>
    </w:p>
    <w:p w14:paraId="53E41331" w14:textId="75B69923" w:rsidR="005D5029" w:rsidRPr="00873B9B" w:rsidRDefault="005D5029" w:rsidP="00FE0BE4">
      <w:pPr>
        <w:spacing w:after="0" w:line="240" w:lineRule="auto"/>
      </w:pPr>
      <w:r w:rsidRPr="00873B9B">
        <w:t>2.</w:t>
      </w:r>
      <w:r w:rsidR="00873B9B" w:rsidRPr="00873B9B">
        <w:t>3</w:t>
      </w:r>
      <w:r w:rsidRPr="00873B9B">
        <w:t xml:space="preserve"> – Conditions d’obtention du dossier de consultation</w:t>
      </w:r>
    </w:p>
    <w:p w14:paraId="0D20B40B" w14:textId="77777777" w:rsidR="00FE0BE4" w:rsidRPr="00873B9B" w:rsidRDefault="00FE0BE4" w:rsidP="00FE0BE4">
      <w:pPr>
        <w:spacing w:after="0" w:line="240" w:lineRule="auto"/>
      </w:pPr>
    </w:p>
    <w:p w14:paraId="27912010" w14:textId="77777777" w:rsidR="00F76E2D" w:rsidRPr="00873B9B" w:rsidRDefault="00F76E2D" w:rsidP="00FE0BE4">
      <w:pPr>
        <w:spacing w:after="0" w:line="240" w:lineRule="auto"/>
        <w:jc w:val="both"/>
      </w:pPr>
      <w:r w:rsidRPr="00873B9B">
        <w:t>Article 3 – Validité des actes d’engagement</w:t>
      </w:r>
    </w:p>
    <w:p w14:paraId="43BC5378" w14:textId="3AA7C125" w:rsidR="00F76E2D" w:rsidRPr="00873B9B" w:rsidRDefault="00F76E2D" w:rsidP="00FE0BE4">
      <w:pPr>
        <w:spacing w:after="0" w:line="240" w:lineRule="auto"/>
        <w:jc w:val="both"/>
      </w:pPr>
      <w:r w:rsidRPr="00873B9B">
        <w:t xml:space="preserve">3.1 – Durée du marché </w:t>
      </w:r>
    </w:p>
    <w:p w14:paraId="3BC8B1E2" w14:textId="77777777" w:rsidR="00E972C7" w:rsidRPr="00873B9B" w:rsidRDefault="00E972C7" w:rsidP="00FE0BE4">
      <w:pPr>
        <w:spacing w:after="0" w:line="240" w:lineRule="auto"/>
        <w:jc w:val="both"/>
      </w:pPr>
    </w:p>
    <w:p w14:paraId="02F0F8E6" w14:textId="71A40109" w:rsidR="00F76E2D" w:rsidRPr="00873B9B" w:rsidRDefault="00F76E2D" w:rsidP="00FE0BE4">
      <w:pPr>
        <w:spacing w:after="0" w:line="240" w:lineRule="auto"/>
        <w:jc w:val="both"/>
      </w:pPr>
      <w:r w:rsidRPr="00873B9B">
        <w:t xml:space="preserve">Article 4 – Négociation </w:t>
      </w:r>
    </w:p>
    <w:p w14:paraId="7FD0D0E5" w14:textId="77777777" w:rsidR="00FE0BE4" w:rsidRPr="00873B9B" w:rsidRDefault="00FE0BE4" w:rsidP="00FE0BE4">
      <w:pPr>
        <w:spacing w:after="0" w:line="240" w:lineRule="auto"/>
        <w:jc w:val="both"/>
      </w:pPr>
    </w:p>
    <w:p w14:paraId="2B6B6A8C" w14:textId="2A24324B" w:rsidR="001C1C3E" w:rsidRPr="00873B9B" w:rsidRDefault="001C1C3E" w:rsidP="001C1C3E">
      <w:pPr>
        <w:spacing w:after="0" w:line="240" w:lineRule="auto"/>
        <w:jc w:val="both"/>
      </w:pPr>
      <w:r w:rsidRPr="00873B9B">
        <w:t xml:space="preserve">Article 5 – Visites des locaux </w:t>
      </w:r>
    </w:p>
    <w:p w14:paraId="6418EDE6" w14:textId="77777777" w:rsidR="001C1C3E" w:rsidRPr="00873B9B" w:rsidRDefault="001C1C3E" w:rsidP="00FE0BE4">
      <w:pPr>
        <w:spacing w:after="0" w:line="240" w:lineRule="auto"/>
        <w:jc w:val="both"/>
      </w:pPr>
    </w:p>
    <w:p w14:paraId="0E06FD7C" w14:textId="4256E5B2" w:rsidR="00F76E2D" w:rsidRPr="00873B9B" w:rsidRDefault="00F76E2D" w:rsidP="00FE0BE4">
      <w:pPr>
        <w:spacing w:after="0" w:line="240" w:lineRule="auto"/>
      </w:pPr>
      <w:r w:rsidRPr="00873B9B">
        <w:t xml:space="preserve">Article </w:t>
      </w:r>
      <w:r w:rsidR="001C1C3E" w:rsidRPr="00873B9B">
        <w:t xml:space="preserve">6 </w:t>
      </w:r>
      <w:r w:rsidR="00FE0BE4" w:rsidRPr="00873B9B">
        <w:t>–</w:t>
      </w:r>
      <w:r w:rsidRPr="00873B9B">
        <w:t xml:space="preserve"> Procédure</w:t>
      </w:r>
      <w:r w:rsidR="00FE0BE4" w:rsidRPr="00873B9B">
        <w:t xml:space="preserve"> </w:t>
      </w:r>
      <w:r w:rsidRPr="00873B9B">
        <w:t>de passation de marché</w:t>
      </w:r>
    </w:p>
    <w:p w14:paraId="3D37387E" w14:textId="7E8D9221" w:rsidR="00F76E2D" w:rsidRPr="00873B9B" w:rsidRDefault="001C1C3E" w:rsidP="00FE0BE4">
      <w:pPr>
        <w:spacing w:after="0" w:line="240" w:lineRule="auto"/>
      </w:pPr>
      <w:r w:rsidRPr="00873B9B">
        <w:t>6</w:t>
      </w:r>
      <w:r w:rsidR="00F76E2D" w:rsidRPr="00873B9B">
        <w:t xml:space="preserve">.1 </w:t>
      </w:r>
      <w:r w:rsidR="00FE0BE4" w:rsidRPr="00873B9B">
        <w:t xml:space="preserve">– </w:t>
      </w:r>
      <w:r w:rsidRPr="00873B9B">
        <w:t>Forme juridique de l’attributaire</w:t>
      </w:r>
    </w:p>
    <w:p w14:paraId="4648D4EB" w14:textId="07DEF58E" w:rsidR="00F76E2D" w:rsidRPr="00873B9B" w:rsidRDefault="00873B9B" w:rsidP="00FE0BE4">
      <w:pPr>
        <w:spacing w:after="0" w:line="240" w:lineRule="auto"/>
        <w:jc w:val="both"/>
        <w:rPr>
          <w:iCs/>
        </w:rPr>
      </w:pPr>
      <w:r w:rsidRPr="00873B9B">
        <w:rPr>
          <w:iCs/>
        </w:rPr>
        <w:t>6</w:t>
      </w:r>
      <w:r w:rsidR="00F76E2D" w:rsidRPr="00873B9B">
        <w:rPr>
          <w:iCs/>
        </w:rPr>
        <w:t xml:space="preserve">.2 </w:t>
      </w:r>
      <w:r w:rsidR="00FE0BE4" w:rsidRPr="00873B9B">
        <w:t xml:space="preserve">– </w:t>
      </w:r>
      <w:r w:rsidR="00F76E2D" w:rsidRPr="00873B9B">
        <w:rPr>
          <w:iCs/>
        </w:rPr>
        <w:t>Pièces à fournir</w:t>
      </w:r>
    </w:p>
    <w:p w14:paraId="2B7C7189" w14:textId="77777777" w:rsidR="00FE0BE4" w:rsidRPr="00873B9B" w:rsidRDefault="00FE0BE4" w:rsidP="00FE0BE4">
      <w:pPr>
        <w:spacing w:after="0" w:line="240" w:lineRule="auto"/>
        <w:jc w:val="both"/>
        <w:rPr>
          <w:iCs/>
        </w:rPr>
      </w:pPr>
    </w:p>
    <w:p w14:paraId="6C6FCDB2" w14:textId="687FAC1A" w:rsidR="00F76E2D" w:rsidRPr="00873B9B" w:rsidRDefault="00F76E2D" w:rsidP="00FE0BE4">
      <w:pPr>
        <w:pStyle w:val="Titre2"/>
        <w:rPr>
          <w:rFonts w:asciiTheme="minorHAnsi" w:hAnsiTheme="minorHAnsi" w:cstheme="minorHAnsi"/>
          <w:b w:val="0"/>
          <w:sz w:val="22"/>
          <w:szCs w:val="22"/>
          <w:u w:val="none"/>
        </w:rPr>
      </w:pPr>
      <w:r w:rsidRPr="00873B9B">
        <w:rPr>
          <w:rFonts w:asciiTheme="minorHAnsi" w:hAnsiTheme="minorHAnsi" w:cstheme="minorHAnsi"/>
          <w:b w:val="0"/>
          <w:sz w:val="22"/>
          <w:szCs w:val="22"/>
          <w:u w:val="none"/>
        </w:rPr>
        <w:t xml:space="preserve">Article </w:t>
      </w:r>
      <w:r w:rsidR="001C1C3E" w:rsidRPr="00873B9B">
        <w:rPr>
          <w:rFonts w:asciiTheme="minorHAnsi" w:hAnsiTheme="minorHAnsi" w:cstheme="minorHAnsi"/>
          <w:b w:val="0"/>
          <w:sz w:val="22"/>
          <w:szCs w:val="22"/>
          <w:u w:val="none"/>
        </w:rPr>
        <w:t>7</w:t>
      </w:r>
      <w:r w:rsidRPr="00873B9B">
        <w:rPr>
          <w:rFonts w:asciiTheme="minorHAnsi" w:hAnsiTheme="minorHAnsi" w:cstheme="minorHAnsi"/>
          <w:b w:val="0"/>
          <w:sz w:val="22"/>
          <w:szCs w:val="22"/>
          <w:u w:val="none"/>
        </w:rPr>
        <w:t xml:space="preserve"> </w:t>
      </w:r>
      <w:r w:rsidR="00FE0BE4" w:rsidRPr="00873B9B">
        <w:rPr>
          <w:u w:val="none"/>
        </w:rPr>
        <w:t>–</w:t>
      </w:r>
      <w:r w:rsidRPr="00873B9B">
        <w:rPr>
          <w:rFonts w:asciiTheme="minorHAnsi" w:hAnsiTheme="minorHAnsi" w:cstheme="minorHAnsi"/>
          <w:b w:val="0"/>
          <w:sz w:val="22"/>
          <w:szCs w:val="22"/>
          <w:u w:val="none"/>
        </w:rPr>
        <w:t xml:space="preserve"> Déroulement de la procédure</w:t>
      </w:r>
    </w:p>
    <w:p w14:paraId="7B3DFE77" w14:textId="79EFC967" w:rsidR="00F76E2D" w:rsidRPr="00873B9B" w:rsidRDefault="001C1C3E" w:rsidP="00FE0BE4">
      <w:pPr>
        <w:spacing w:after="0" w:line="240" w:lineRule="auto"/>
        <w:rPr>
          <w:rFonts w:cstheme="minorHAnsi"/>
          <w:iCs/>
        </w:rPr>
      </w:pPr>
      <w:r w:rsidRPr="00873B9B">
        <w:rPr>
          <w:rFonts w:cstheme="minorHAnsi"/>
          <w:iCs/>
        </w:rPr>
        <w:t>7</w:t>
      </w:r>
      <w:r w:rsidR="00F76E2D" w:rsidRPr="00873B9B">
        <w:rPr>
          <w:rFonts w:cstheme="minorHAnsi"/>
          <w:iCs/>
        </w:rPr>
        <w:t xml:space="preserve">.1 </w:t>
      </w:r>
      <w:r w:rsidR="00FE0BE4" w:rsidRPr="00873B9B">
        <w:t xml:space="preserve">– </w:t>
      </w:r>
      <w:r w:rsidR="00F76E2D" w:rsidRPr="00873B9B">
        <w:rPr>
          <w:rFonts w:cstheme="minorHAnsi"/>
          <w:iCs/>
        </w:rPr>
        <w:t>Elimination des candidats</w:t>
      </w:r>
    </w:p>
    <w:p w14:paraId="23025FAF" w14:textId="6666830F" w:rsidR="00F76E2D" w:rsidRPr="00873B9B" w:rsidRDefault="001C1C3E" w:rsidP="00FE0BE4">
      <w:pPr>
        <w:spacing w:after="0" w:line="240" w:lineRule="auto"/>
        <w:rPr>
          <w:rFonts w:cstheme="minorHAnsi"/>
          <w:iCs/>
        </w:rPr>
      </w:pPr>
      <w:r w:rsidRPr="00873B9B">
        <w:rPr>
          <w:rFonts w:cstheme="minorHAnsi"/>
          <w:iCs/>
        </w:rPr>
        <w:t>7</w:t>
      </w:r>
      <w:r w:rsidR="00F76E2D" w:rsidRPr="00873B9B">
        <w:rPr>
          <w:rFonts w:cstheme="minorHAnsi"/>
          <w:iCs/>
        </w:rPr>
        <w:t xml:space="preserve">.2 </w:t>
      </w:r>
      <w:r w:rsidR="00FE0BE4" w:rsidRPr="00873B9B">
        <w:t xml:space="preserve">– </w:t>
      </w:r>
      <w:r w:rsidR="00F76E2D" w:rsidRPr="00873B9B">
        <w:rPr>
          <w:rFonts w:cstheme="minorHAnsi"/>
          <w:iCs/>
        </w:rPr>
        <w:t>Critères de jugement</w:t>
      </w:r>
    </w:p>
    <w:p w14:paraId="2D1D901F" w14:textId="77777777" w:rsidR="00F76E2D" w:rsidRPr="00873B9B" w:rsidRDefault="00F76E2D" w:rsidP="00FE0BE4">
      <w:pPr>
        <w:pStyle w:val="Corpsdetexte"/>
        <w:rPr>
          <w:rFonts w:asciiTheme="minorHAnsi" w:hAnsiTheme="minorHAnsi" w:cstheme="minorHAnsi"/>
          <w:sz w:val="22"/>
          <w:szCs w:val="22"/>
        </w:rPr>
      </w:pPr>
    </w:p>
    <w:p w14:paraId="3CA37C90" w14:textId="0A27C6E3" w:rsidR="00F76E2D" w:rsidRPr="00873B9B" w:rsidRDefault="00F76E2D" w:rsidP="00FE0BE4">
      <w:pPr>
        <w:spacing w:after="0" w:line="240" w:lineRule="auto"/>
        <w:jc w:val="both"/>
      </w:pPr>
      <w:r w:rsidRPr="00873B9B">
        <w:t xml:space="preserve">Article </w:t>
      </w:r>
      <w:r w:rsidR="001C1C3E" w:rsidRPr="00873B9B">
        <w:t>8</w:t>
      </w:r>
      <w:r w:rsidRPr="00873B9B">
        <w:t xml:space="preserve"> </w:t>
      </w:r>
      <w:r w:rsidR="001C1C3E" w:rsidRPr="00873B9B">
        <w:t>–</w:t>
      </w:r>
      <w:r w:rsidRPr="00873B9B">
        <w:t xml:space="preserve"> Conditions de remise des offres </w:t>
      </w:r>
    </w:p>
    <w:p w14:paraId="62CE9E7F" w14:textId="0274B66B" w:rsidR="00F76E2D" w:rsidRPr="00873B9B" w:rsidRDefault="001C1C3E" w:rsidP="00FE0BE4">
      <w:pPr>
        <w:spacing w:after="0" w:line="240" w:lineRule="auto"/>
        <w:jc w:val="both"/>
      </w:pPr>
      <w:r w:rsidRPr="00873B9B">
        <w:t>8</w:t>
      </w:r>
      <w:r w:rsidR="00F76E2D" w:rsidRPr="00873B9B">
        <w:t xml:space="preserve">.1 </w:t>
      </w:r>
      <w:r w:rsidR="00FE0BE4" w:rsidRPr="00873B9B">
        <w:t xml:space="preserve">– </w:t>
      </w:r>
      <w:r w:rsidR="00F76E2D" w:rsidRPr="00873B9B">
        <w:t xml:space="preserve">Contenu des offres </w:t>
      </w:r>
    </w:p>
    <w:p w14:paraId="4618DEE8" w14:textId="18513295" w:rsidR="005D5029" w:rsidRPr="00873B9B" w:rsidRDefault="001C1C3E" w:rsidP="00FE0BE4">
      <w:pPr>
        <w:spacing w:after="0" w:line="240" w:lineRule="auto"/>
        <w:jc w:val="both"/>
      </w:pPr>
      <w:r w:rsidRPr="00873B9B">
        <w:t>8</w:t>
      </w:r>
      <w:r w:rsidR="005D5029" w:rsidRPr="00873B9B">
        <w:t>.2 – Modalité de dépôt des offres</w:t>
      </w:r>
    </w:p>
    <w:p w14:paraId="2A8B1106" w14:textId="77777777" w:rsidR="00FE0BE4" w:rsidRPr="00873B9B" w:rsidRDefault="00FE0BE4" w:rsidP="00FE0BE4">
      <w:pPr>
        <w:spacing w:after="0" w:line="240" w:lineRule="auto"/>
        <w:jc w:val="both"/>
      </w:pPr>
    </w:p>
    <w:p w14:paraId="3963E058" w14:textId="018EF91D" w:rsidR="00FE0BE4" w:rsidRPr="00873B9B" w:rsidRDefault="00F76E2D" w:rsidP="00FE0BE4">
      <w:pPr>
        <w:spacing w:after="0" w:line="240" w:lineRule="auto"/>
      </w:pPr>
      <w:r w:rsidRPr="00873B9B">
        <w:t xml:space="preserve">Article </w:t>
      </w:r>
      <w:r w:rsidR="001C1C3E" w:rsidRPr="00873B9B">
        <w:t>9</w:t>
      </w:r>
      <w:r w:rsidRPr="00873B9B">
        <w:t xml:space="preserve"> - Renseignements complémentaires / communications et échanges d’informations</w:t>
      </w:r>
    </w:p>
    <w:p w14:paraId="6CECCD01" w14:textId="3418E05B" w:rsidR="00F76E2D" w:rsidRPr="00873B9B" w:rsidRDefault="00F76E2D" w:rsidP="00FE0BE4">
      <w:pPr>
        <w:spacing w:after="0" w:line="240" w:lineRule="auto"/>
      </w:pPr>
      <w:r w:rsidRPr="00873B9B">
        <w:t xml:space="preserve"> </w:t>
      </w:r>
    </w:p>
    <w:p w14:paraId="628C0E3A" w14:textId="3065C93A" w:rsidR="00F76E2D" w:rsidRPr="00873B9B" w:rsidRDefault="00F76E2D" w:rsidP="00FE0BE4">
      <w:pPr>
        <w:spacing w:after="0" w:line="240" w:lineRule="auto"/>
      </w:pPr>
      <w:r w:rsidRPr="00873B9B">
        <w:t xml:space="preserve">Article </w:t>
      </w:r>
      <w:r w:rsidR="001C1C3E" w:rsidRPr="00873B9B">
        <w:t>10</w:t>
      </w:r>
      <w:r w:rsidRPr="00873B9B">
        <w:t xml:space="preserve"> – Information sur le Règlement Général sur la Protection des données Personnelles </w:t>
      </w:r>
    </w:p>
    <w:p w14:paraId="3D93D26E" w14:textId="77777777" w:rsidR="00FE0BE4" w:rsidRPr="00873B9B" w:rsidRDefault="00FE0BE4" w:rsidP="00FE0BE4">
      <w:pPr>
        <w:spacing w:after="0" w:line="240" w:lineRule="auto"/>
      </w:pPr>
    </w:p>
    <w:p w14:paraId="1C0DB932" w14:textId="40AC30DE" w:rsidR="00F76E2D" w:rsidRPr="00873B9B" w:rsidRDefault="00F76E2D" w:rsidP="00FE0BE4">
      <w:pPr>
        <w:spacing w:after="0" w:line="240" w:lineRule="auto"/>
      </w:pPr>
      <w:r w:rsidRPr="00873B9B">
        <w:t>Article 1</w:t>
      </w:r>
      <w:r w:rsidR="001C1C3E" w:rsidRPr="00873B9B">
        <w:t>1</w:t>
      </w:r>
      <w:r w:rsidRPr="00873B9B">
        <w:t xml:space="preserve"> – Avance, nantissement et garantie financière </w:t>
      </w:r>
    </w:p>
    <w:p w14:paraId="7962E371" w14:textId="77777777" w:rsidR="00FE0BE4" w:rsidRPr="00873B9B" w:rsidRDefault="00FE0BE4" w:rsidP="00FE0BE4">
      <w:pPr>
        <w:spacing w:after="0" w:line="240" w:lineRule="auto"/>
      </w:pPr>
    </w:p>
    <w:p w14:paraId="7E01C335" w14:textId="0B8E50B9" w:rsidR="00F76E2D" w:rsidRPr="00873B9B" w:rsidRDefault="00F76E2D" w:rsidP="00FE0BE4">
      <w:pPr>
        <w:spacing w:after="0" w:line="240" w:lineRule="auto"/>
      </w:pPr>
      <w:r w:rsidRPr="00873B9B">
        <w:t>Article 1</w:t>
      </w:r>
      <w:r w:rsidR="001C1C3E" w:rsidRPr="00873B9B">
        <w:t>2</w:t>
      </w:r>
      <w:r w:rsidRPr="00873B9B">
        <w:t xml:space="preserve"> – Procédure de recours </w:t>
      </w:r>
    </w:p>
    <w:p w14:paraId="7C8C015A" w14:textId="61BC63B4" w:rsidR="004208DB" w:rsidRPr="000738BB" w:rsidRDefault="004208DB" w:rsidP="00773624">
      <w:pPr>
        <w:rPr>
          <w:b/>
          <w:bCs/>
          <w:strike/>
          <w:color w:val="EE0000"/>
        </w:rPr>
      </w:pPr>
    </w:p>
    <w:p w14:paraId="1349E1C3" w14:textId="2A1577A0" w:rsidR="00FE0BE4" w:rsidRDefault="00FE0BE4" w:rsidP="00773624">
      <w:pPr>
        <w:rPr>
          <w:b/>
          <w:bCs/>
          <w:color w:val="FF0000"/>
        </w:rPr>
      </w:pPr>
    </w:p>
    <w:p w14:paraId="149B102A" w14:textId="1BC7E956" w:rsidR="009215D8" w:rsidRDefault="009215D8" w:rsidP="00773624">
      <w:pPr>
        <w:rPr>
          <w:b/>
          <w:bCs/>
          <w:color w:val="FF0000"/>
        </w:rPr>
      </w:pPr>
    </w:p>
    <w:p w14:paraId="5F4F460E" w14:textId="7F3F81AA" w:rsidR="009215D8" w:rsidRDefault="009215D8" w:rsidP="00773624">
      <w:pPr>
        <w:rPr>
          <w:b/>
          <w:bCs/>
          <w:color w:val="FF0000"/>
        </w:rPr>
      </w:pPr>
    </w:p>
    <w:p w14:paraId="425E5D41" w14:textId="392C6240" w:rsidR="009215D8" w:rsidRDefault="009215D8" w:rsidP="00773624">
      <w:pPr>
        <w:rPr>
          <w:b/>
          <w:bCs/>
          <w:color w:val="FF0000"/>
        </w:rPr>
      </w:pPr>
    </w:p>
    <w:p w14:paraId="76C210B5" w14:textId="77777777" w:rsidR="009215D8" w:rsidRDefault="009215D8" w:rsidP="00773624">
      <w:pPr>
        <w:rPr>
          <w:b/>
          <w:bCs/>
          <w:color w:val="FF0000"/>
        </w:rPr>
      </w:pPr>
    </w:p>
    <w:p w14:paraId="4074C5DE" w14:textId="77777777" w:rsidR="00FE0BE4" w:rsidRDefault="00FE0BE4" w:rsidP="00773624">
      <w:pPr>
        <w:rPr>
          <w:b/>
          <w:bCs/>
          <w:color w:val="FF0000"/>
        </w:rPr>
      </w:pPr>
    </w:p>
    <w:p w14:paraId="2C88FBC4" w14:textId="1E9EF9BB" w:rsidR="00773624" w:rsidRPr="00773624" w:rsidRDefault="00773624" w:rsidP="00773624">
      <w:pPr>
        <w:rPr>
          <w:b/>
          <w:bCs/>
          <w:u w:val="single"/>
        </w:rPr>
      </w:pPr>
      <w:r w:rsidRPr="00773624">
        <w:rPr>
          <w:b/>
          <w:bCs/>
          <w:u w:val="single"/>
        </w:rPr>
        <w:lastRenderedPageBreak/>
        <w:t xml:space="preserve">Article 1 </w:t>
      </w:r>
      <w:r w:rsidR="0010368A">
        <w:rPr>
          <w:b/>
          <w:bCs/>
          <w:u w:val="single"/>
        </w:rPr>
        <w:t>–</w:t>
      </w:r>
      <w:r w:rsidRPr="00773624">
        <w:rPr>
          <w:b/>
          <w:bCs/>
          <w:u w:val="single"/>
        </w:rPr>
        <w:t xml:space="preserve"> Identification du souscripteur </w:t>
      </w:r>
    </w:p>
    <w:p w14:paraId="7F856E18" w14:textId="5879AE31" w:rsidR="00773624" w:rsidRDefault="00773624" w:rsidP="00C84EE9">
      <w:r>
        <w:t>OFFICE DE TOURISME PAYS BASQUE</w:t>
      </w:r>
    </w:p>
    <w:p w14:paraId="21293822" w14:textId="0893F4FE" w:rsidR="00137B6A" w:rsidRPr="0068049F" w:rsidRDefault="0068049F" w:rsidP="00137B6A">
      <w:r w:rsidRPr="0068049F">
        <w:t>Directrice-</w:t>
      </w:r>
      <w:r w:rsidR="00137B6A" w:rsidRPr="0068049F">
        <w:t>Ordonnat</w:t>
      </w:r>
      <w:r w:rsidRPr="0068049F">
        <w:t>rice</w:t>
      </w:r>
      <w:r w:rsidR="00137B6A" w:rsidRPr="0068049F">
        <w:t> : Isabelle FORGET</w:t>
      </w:r>
    </w:p>
    <w:p w14:paraId="1195851A" w14:textId="4F1C6D42" w:rsidR="00773624" w:rsidRDefault="002E40C4" w:rsidP="00773624">
      <w:pPr>
        <w:tabs>
          <w:tab w:val="left" w:pos="1418"/>
        </w:tabs>
      </w:pPr>
      <w:r>
        <w:t>20 Bd Victor Hugo – 64 500 SAINT-JEAN-DE-LUZ</w:t>
      </w:r>
      <w:r w:rsidR="00773624">
        <w:t xml:space="preserve"> </w:t>
      </w:r>
    </w:p>
    <w:p w14:paraId="3B607A3C" w14:textId="1116B2D9" w:rsidR="00773624" w:rsidRPr="002E40C4" w:rsidRDefault="006B2ACA" w:rsidP="00773624">
      <w:pPr>
        <w:tabs>
          <w:tab w:val="left" w:pos="1418"/>
        </w:tabs>
      </w:pPr>
      <w:r>
        <w:t xml:space="preserve">Tél. </w:t>
      </w:r>
      <w:r w:rsidR="00773624" w:rsidRPr="002E40C4">
        <w:t xml:space="preserve">05.59.26.03.16 </w:t>
      </w:r>
    </w:p>
    <w:p w14:paraId="30F1F65F" w14:textId="77777777" w:rsidR="006B2ACA" w:rsidRDefault="006B2ACA" w:rsidP="00773624">
      <w:pPr>
        <w:tabs>
          <w:tab w:val="left" w:pos="1418"/>
        </w:tabs>
      </w:pPr>
      <w:r>
        <w:t xml:space="preserve">Contacts : </w:t>
      </w:r>
      <w:hyperlink r:id="rId11" w:history="1">
        <w:r w:rsidRPr="003E6D25">
          <w:rPr>
            <w:rStyle w:val="Lienhypertexte"/>
          </w:rPr>
          <w:t>i.forget@otpaysbasque.com</w:t>
        </w:r>
      </w:hyperlink>
      <w:r w:rsidR="00975FB8" w:rsidRPr="002E40C4">
        <w:t xml:space="preserve"> </w:t>
      </w:r>
      <w:r w:rsidR="00773624" w:rsidRPr="002E40C4">
        <w:t xml:space="preserve"> </w:t>
      </w:r>
      <w:r>
        <w:t xml:space="preserve">ou </w:t>
      </w:r>
      <w:hyperlink r:id="rId12" w:history="1">
        <w:r w:rsidRPr="003E6D25">
          <w:rPr>
            <w:rStyle w:val="Lienhypertexte"/>
          </w:rPr>
          <w:t>f.landron@otpaysbasque.com</w:t>
        </w:r>
      </w:hyperlink>
    </w:p>
    <w:p w14:paraId="1B3025C0" w14:textId="0F7DA408" w:rsidR="00773624" w:rsidRDefault="006B2ACA" w:rsidP="00773624">
      <w:pPr>
        <w:tabs>
          <w:tab w:val="left" w:pos="1418"/>
        </w:tabs>
      </w:pPr>
      <w:r>
        <w:t>I</w:t>
      </w:r>
      <w:r w:rsidR="00773624" w:rsidRPr="002E40C4">
        <w:t xml:space="preserve">dentifiant CHORUS : </w:t>
      </w:r>
      <w:r w:rsidR="00975FB8" w:rsidRPr="002E40C4">
        <w:t>84130247400017</w:t>
      </w:r>
      <w:r w:rsidR="00773624">
        <w:t xml:space="preserve"> </w:t>
      </w:r>
    </w:p>
    <w:p w14:paraId="2124EBA7" w14:textId="77777777" w:rsidR="00773624" w:rsidRDefault="00773624" w:rsidP="00773624">
      <w:r>
        <w:t xml:space="preserve"> </w:t>
      </w:r>
    </w:p>
    <w:p w14:paraId="2F3D2256" w14:textId="4FBB66A6" w:rsidR="00773624" w:rsidRPr="00975FB8" w:rsidRDefault="00773624" w:rsidP="00773624">
      <w:pPr>
        <w:rPr>
          <w:b/>
          <w:bCs/>
          <w:u w:val="single"/>
        </w:rPr>
      </w:pPr>
      <w:r w:rsidRPr="00975FB8">
        <w:rPr>
          <w:b/>
          <w:bCs/>
          <w:u w:val="single"/>
        </w:rPr>
        <w:t xml:space="preserve">Article 2 </w:t>
      </w:r>
      <w:r w:rsidR="0010368A">
        <w:rPr>
          <w:b/>
          <w:bCs/>
          <w:u w:val="single"/>
        </w:rPr>
        <w:t>–</w:t>
      </w:r>
      <w:r w:rsidRPr="00975FB8">
        <w:rPr>
          <w:b/>
          <w:bCs/>
          <w:u w:val="single"/>
        </w:rPr>
        <w:t xml:space="preserve"> Objet du marché </w:t>
      </w:r>
    </w:p>
    <w:p w14:paraId="5BE4DA0F" w14:textId="363A8A57" w:rsidR="00773624" w:rsidRPr="00975FB8" w:rsidRDefault="00773624" w:rsidP="00773624">
      <w:pPr>
        <w:rPr>
          <w:b/>
          <w:bCs/>
        </w:rPr>
      </w:pPr>
      <w:r w:rsidRPr="00975FB8">
        <w:rPr>
          <w:b/>
          <w:bCs/>
        </w:rPr>
        <w:t xml:space="preserve">2.1 </w:t>
      </w:r>
      <w:r w:rsidR="00797DCE">
        <w:rPr>
          <w:b/>
          <w:bCs/>
        </w:rPr>
        <w:t>–</w:t>
      </w:r>
      <w:r w:rsidRPr="00975FB8">
        <w:rPr>
          <w:b/>
          <w:bCs/>
        </w:rPr>
        <w:t xml:space="preserve"> Objet du marché </w:t>
      </w:r>
    </w:p>
    <w:p w14:paraId="6F691FB3" w14:textId="7F1E5FAE" w:rsidR="00773624" w:rsidRDefault="00773624" w:rsidP="00535905">
      <w:pPr>
        <w:ind w:right="-284"/>
        <w:jc w:val="both"/>
      </w:pPr>
      <w:r w:rsidRPr="002E40C4">
        <w:t xml:space="preserve">Le </w:t>
      </w:r>
      <w:r w:rsidR="002B4A3F">
        <w:t xml:space="preserve">présent </w:t>
      </w:r>
      <w:r w:rsidRPr="002E40C4">
        <w:t>marché concerne</w:t>
      </w:r>
      <w:r w:rsidR="00975FB8" w:rsidRPr="002E40C4">
        <w:t xml:space="preserve"> </w:t>
      </w:r>
      <w:r w:rsidR="00CE7C7D">
        <w:t xml:space="preserve">le nettoyage de certains locaux et </w:t>
      </w:r>
      <w:r w:rsidR="00E32B8A">
        <w:t xml:space="preserve">/ ou </w:t>
      </w:r>
      <w:r w:rsidR="00CE7C7D">
        <w:t xml:space="preserve">de certains vitrages </w:t>
      </w:r>
      <w:r w:rsidR="00C94B87" w:rsidRPr="002E40C4">
        <w:t xml:space="preserve">de l’Office de Tourisme Pays </w:t>
      </w:r>
      <w:proofErr w:type="gramStart"/>
      <w:r w:rsidR="00C94B87" w:rsidRPr="002E40C4">
        <w:t>Basque</w:t>
      </w:r>
      <w:proofErr w:type="gramEnd"/>
      <w:r w:rsidRPr="002E40C4">
        <w:t>, par la voie d’une procédure de mise en concurrence adaptée en application des articles R2123-1 à R2123-7 du code de la commande publique</w:t>
      </w:r>
      <w:r w:rsidR="007F264E">
        <w:t>.</w:t>
      </w:r>
    </w:p>
    <w:p w14:paraId="05415D5D" w14:textId="3887FBBD" w:rsidR="007F264E" w:rsidRPr="00BF15EA" w:rsidRDefault="007F264E" w:rsidP="00BF15EA">
      <w:pPr>
        <w:ind w:right="-284"/>
        <w:jc w:val="both"/>
      </w:pPr>
      <w:r w:rsidRPr="00BF15EA">
        <w:t xml:space="preserve">Le marché est alloti. Seul le lot n° 3 comporte une tranche ferme et une tranche conditionnelle. La tranche conditionnelle pourra être affermie dans un délai de </w:t>
      </w:r>
      <w:r w:rsidR="00BF15EA" w:rsidRPr="00BF15EA">
        <w:t xml:space="preserve">4 mois </w:t>
      </w:r>
      <w:r w:rsidRPr="00BF15EA">
        <w:t>à compter de la notification du marché. Le pouvoir adjudicateur informera le titulaire par ordre de service. Le non-affermissement de la tranche conditionnelle n’ouvre droit à aucune indemnité.</w:t>
      </w:r>
    </w:p>
    <w:p w14:paraId="0C9AE991" w14:textId="3B5BB8FF" w:rsidR="007F264E" w:rsidRPr="00BF15EA" w:rsidRDefault="007F264E" w:rsidP="00BF15EA">
      <w:pPr>
        <w:ind w:right="-284"/>
        <w:jc w:val="both"/>
      </w:pPr>
      <w:r w:rsidRPr="00BF15EA">
        <w:t>Les autres lots sont traités en tranche ferme uniquement.</w:t>
      </w:r>
    </w:p>
    <w:p w14:paraId="5ED6BB4F" w14:textId="6A9B45BB" w:rsidR="00E32B8A" w:rsidRDefault="00E32B8A" w:rsidP="008C10E6">
      <w:pPr>
        <w:jc w:val="both"/>
        <w:rPr>
          <w:b/>
          <w:bCs/>
        </w:rPr>
      </w:pPr>
      <w:r w:rsidRPr="00E32B8A">
        <w:rPr>
          <w:b/>
          <w:bCs/>
        </w:rPr>
        <w:t xml:space="preserve">Lot </w:t>
      </w:r>
      <w:r>
        <w:rPr>
          <w:b/>
          <w:bCs/>
        </w:rPr>
        <w:t xml:space="preserve">n° </w:t>
      </w:r>
      <w:r w:rsidRPr="00E32B8A">
        <w:rPr>
          <w:b/>
          <w:bCs/>
        </w:rPr>
        <w:t>1 – Secteur Sud Labourd</w:t>
      </w:r>
    </w:p>
    <w:p w14:paraId="18DA76A0" w14:textId="637601C9" w:rsidR="00E32B8A" w:rsidRPr="00BF15EA" w:rsidRDefault="00E32B8A" w:rsidP="00E32B8A">
      <w:pPr>
        <w:pStyle w:val="Paragraphedeliste"/>
        <w:numPr>
          <w:ilvl w:val="0"/>
          <w:numId w:val="4"/>
        </w:numPr>
        <w:jc w:val="both"/>
        <w:rPr>
          <w:b/>
          <w:bCs/>
        </w:rPr>
      </w:pPr>
      <w:r w:rsidRPr="00BF15EA">
        <w:t>Nettoyage des locaux et vitrages du Bureau d’Accueil Touristique d’Ascain</w:t>
      </w:r>
    </w:p>
    <w:p w14:paraId="0448FDC3" w14:textId="412F72C8" w:rsidR="00E32B8A" w:rsidRPr="00BF15EA" w:rsidRDefault="00E32B8A" w:rsidP="00E32B8A">
      <w:pPr>
        <w:pStyle w:val="Paragraphedeliste"/>
        <w:numPr>
          <w:ilvl w:val="0"/>
          <w:numId w:val="4"/>
        </w:numPr>
        <w:jc w:val="both"/>
        <w:rPr>
          <w:b/>
          <w:bCs/>
        </w:rPr>
      </w:pPr>
      <w:r w:rsidRPr="00BF15EA">
        <w:t>Nettoyage des locaux et vitrages du Bureau d’Accueil Touristique de Ciboure</w:t>
      </w:r>
    </w:p>
    <w:p w14:paraId="3407241E" w14:textId="705CE3BF" w:rsidR="008F7348" w:rsidRPr="00BF15EA" w:rsidRDefault="008F7348" w:rsidP="008F7348">
      <w:pPr>
        <w:pStyle w:val="Paragraphedeliste"/>
        <w:numPr>
          <w:ilvl w:val="0"/>
          <w:numId w:val="4"/>
        </w:numPr>
        <w:jc w:val="both"/>
        <w:rPr>
          <w:b/>
          <w:bCs/>
        </w:rPr>
      </w:pPr>
      <w:r w:rsidRPr="00BF15EA">
        <w:t>Nettoyage des locaux et vitrages du Bureau d’Accueil Touristique de Guéthary</w:t>
      </w:r>
    </w:p>
    <w:p w14:paraId="7C657A08" w14:textId="07468C87" w:rsidR="008F7348" w:rsidRPr="00BF15EA" w:rsidRDefault="008F7348" w:rsidP="008F7348">
      <w:pPr>
        <w:pStyle w:val="Paragraphedeliste"/>
        <w:numPr>
          <w:ilvl w:val="0"/>
          <w:numId w:val="4"/>
        </w:numPr>
        <w:jc w:val="both"/>
        <w:rPr>
          <w:b/>
          <w:bCs/>
        </w:rPr>
      </w:pPr>
      <w:r w:rsidRPr="00BF15EA">
        <w:t xml:space="preserve">Nettoyage des vitrages du Bureau d’Accueil Touristique de Saint-Jean-de-Luz </w:t>
      </w:r>
    </w:p>
    <w:p w14:paraId="6D2D513F" w14:textId="3BC1DD41" w:rsidR="00E32B8A" w:rsidRPr="00BF15EA" w:rsidRDefault="00E32B8A" w:rsidP="00E32B8A">
      <w:pPr>
        <w:pStyle w:val="Paragraphedeliste"/>
        <w:numPr>
          <w:ilvl w:val="0"/>
          <w:numId w:val="4"/>
        </w:numPr>
        <w:jc w:val="both"/>
        <w:rPr>
          <w:b/>
          <w:bCs/>
        </w:rPr>
      </w:pPr>
      <w:r w:rsidRPr="00BF15EA">
        <w:t>Nettoyage des locaux du Bureau d’Accueil Touristique d’Urrugne</w:t>
      </w:r>
    </w:p>
    <w:p w14:paraId="27555BEA" w14:textId="15DA82D0" w:rsidR="00E32B8A" w:rsidRPr="00BF15EA" w:rsidRDefault="00E32B8A" w:rsidP="00E32B8A">
      <w:pPr>
        <w:jc w:val="both"/>
        <w:rPr>
          <w:b/>
          <w:bCs/>
        </w:rPr>
      </w:pPr>
      <w:r w:rsidRPr="00BF15EA">
        <w:rPr>
          <w:b/>
          <w:bCs/>
        </w:rPr>
        <w:t>Lot n° 2 – Secteur Adour</w:t>
      </w:r>
    </w:p>
    <w:p w14:paraId="4D2FF3A7" w14:textId="58C7634D" w:rsidR="00E32B8A" w:rsidRPr="00BF15EA" w:rsidRDefault="00E32B8A" w:rsidP="00E32B8A">
      <w:pPr>
        <w:pStyle w:val="Paragraphedeliste"/>
        <w:numPr>
          <w:ilvl w:val="0"/>
          <w:numId w:val="4"/>
        </w:numPr>
        <w:jc w:val="both"/>
        <w:rPr>
          <w:b/>
          <w:bCs/>
        </w:rPr>
      </w:pPr>
      <w:r w:rsidRPr="00BF15EA">
        <w:t>Nettoyage des locaux et vitrages du Bureau d’Accueil Touristique de Bidache</w:t>
      </w:r>
    </w:p>
    <w:p w14:paraId="7E8966B1" w14:textId="1DCFAC16" w:rsidR="00E32B8A" w:rsidRPr="00BF15EA" w:rsidRDefault="00E32B8A" w:rsidP="00E32B8A">
      <w:pPr>
        <w:pStyle w:val="Paragraphedeliste"/>
        <w:numPr>
          <w:ilvl w:val="0"/>
          <w:numId w:val="4"/>
        </w:numPr>
        <w:jc w:val="both"/>
        <w:rPr>
          <w:b/>
          <w:bCs/>
        </w:rPr>
      </w:pPr>
      <w:r w:rsidRPr="00BF15EA">
        <w:t>Nettoyage des locaux et vitrages du Bureau d’Accueil Touristique d’Hasparren</w:t>
      </w:r>
    </w:p>
    <w:p w14:paraId="0FC7AF9C" w14:textId="0B812137" w:rsidR="00E32B8A" w:rsidRPr="00BF15EA" w:rsidRDefault="00E32B8A" w:rsidP="00E32B8A">
      <w:pPr>
        <w:pStyle w:val="Paragraphedeliste"/>
        <w:numPr>
          <w:ilvl w:val="0"/>
          <w:numId w:val="4"/>
        </w:numPr>
        <w:jc w:val="both"/>
        <w:rPr>
          <w:b/>
          <w:bCs/>
        </w:rPr>
      </w:pPr>
      <w:r w:rsidRPr="00BF15EA">
        <w:t xml:space="preserve">Nettoyage des locaux et vitrages du Bureau d’Accueil Touristique de La Bastide </w:t>
      </w:r>
      <w:proofErr w:type="spellStart"/>
      <w:r w:rsidRPr="00BF15EA">
        <w:t>Clairence</w:t>
      </w:r>
      <w:proofErr w:type="spellEnd"/>
    </w:p>
    <w:p w14:paraId="73E3FC2A" w14:textId="1D46A61C" w:rsidR="00E32B8A" w:rsidRPr="00BF15EA" w:rsidRDefault="00E32B8A" w:rsidP="00E32B8A">
      <w:pPr>
        <w:pStyle w:val="Paragraphedeliste"/>
        <w:numPr>
          <w:ilvl w:val="0"/>
          <w:numId w:val="4"/>
        </w:numPr>
        <w:jc w:val="both"/>
        <w:rPr>
          <w:b/>
          <w:bCs/>
        </w:rPr>
      </w:pPr>
      <w:r w:rsidRPr="00BF15EA">
        <w:t xml:space="preserve">Nettoyage des locaux du Bureau d’Accueil Touristique d’Urt – Juillet et </w:t>
      </w:r>
      <w:proofErr w:type="gramStart"/>
      <w:r w:rsidRPr="00BF15EA">
        <w:t>Août</w:t>
      </w:r>
      <w:proofErr w:type="gramEnd"/>
    </w:p>
    <w:p w14:paraId="004AA26A" w14:textId="780F6119" w:rsidR="00E32B8A" w:rsidRPr="00BF15EA" w:rsidRDefault="00E32B8A" w:rsidP="00E32B8A">
      <w:pPr>
        <w:jc w:val="both"/>
        <w:rPr>
          <w:b/>
          <w:bCs/>
        </w:rPr>
      </w:pPr>
      <w:r w:rsidRPr="00BF15EA">
        <w:rPr>
          <w:b/>
          <w:bCs/>
        </w:rPr>
        <w:t>Lot n° 3 – Secteur Soule</w:t>
      </w:r>
    </w:p>
    <w:p w14:paraId="4A4566D8" w14:textId="0D494115" w:rsidR="00E32B8A" w:rsidRPr="00BF15EA" w:rsidRDefault="005D20B6" w:rsidP="00E32B8A">
      <w:pPr>
        <w:pStyle w:val="Paragraphedeliste"/>
        <w:numPr>
          <w:ilvl w:val="0"/>
          <w:numId w:val="4"/>
        </w:numPr>
        <w:jc w:val="both"/>
        <w:rPr>
          <w:b/>
          <w:bCs/>
        </w:rPr>
      </w:pPr>
      <w:r w:rsidRPr="00BF15EA">
        <w:t>Tranche ferme :</w:t>
      </w:r>
      <w:r w:rsidR="007F264E" w:rsidRPr="00BF15EA">
        <w:t xml:space="preserve"> </w:t>
      </w:r>
      <w:r w:rsidR="00E32B8A" w:rsidRPr="00BF15EA">
        <w:t xml:space="preserve">Nettoyage des locaux et vitrages du Bureau d’Accueil Touristique de </w:t>
      </w:r>
      <w:proofErr w:type="spellStart"/>
      <w:r w:rsidR="00E32B8A" w:rsidRPr="00BF15EA">
        <w:t>Tardets</w:t>
      </w:r>
      <w:proofErr w:type="spellEnd"/>
    </w:p>
    <w:p w14:paraId="5D8FD668" w14:textId="4A3A9DF6" w:rsidR="005D20B6" w:rsidRPr="00BF15EA" w:rsidRDefault="005D20B6" w:rsidP="005D20B6">
      <w:pPr>
        <w:pStyle w:val="Paragraphedeliste"/>
        <w:numPr>
          <w:ilvl w:val="0"/>
          <w:numId w:val="4"/>
        </w:numPr>
        <w:jc w:val="both"/>
      </w:pPr>
      <w:r w:rsidRPr="00BF15EA">
        <w:t>Tranche conditionnelle :</w:t>
      </w:r>
      <w:r w:rsidR="007F264E" w:rsidRPr="00BF15EA">
        <w:t xml:space="preserve"> </w:t>
      </w:r>
      <w:r w:rsidR="00E32B8A" w:rsidRPr="00BF15EA">
        <w:t xml:space="preserve">Nettoyage des toilettes à </w:t>
      </w:r>
      <w:proofErr w:type="spellStart"/>
      <w:r w:rsidR="00E32B8A" w:rsidRPr="00BF15EA">
        <w:t>Holzarte</w:t>
      </w:r>
      <w:proofErr w:type="spellEnd"/>
      <w:r w:rsidR="00E32B8A" w:rsidRPr="00BF15EA">
        <w:t xml:space="preserve"> </w:t>
      </w:r>
    </w:p>
    <w:p w14:paraId="085D4CFB" w14:textId="381D77F5" w:rsidR="00773624" w:rsidRDefault="00773624" w:rsidP="005D20B6">
      <w:pPr>
        <w:jc w:val="both"/>
      </w:pPr>
      <w:r>
        <w:t xml:space="preserve">Chaque candidat peut librement soumissionner à un seul lot, plusieurs lots ou tous les lots. Chacun de ces lots peuvent être attribués ensemble ou séparément. </w:t>
      </w:r>
    </w:p>
    <w:p w14:paraId="7E5EEF5A" w14:textId="6E5CE0E3" w:rsidR="00773624" w:rsidRPr="008C10E6" w:rsidRDefault="00797DCE" w:rsidP="008C10E6">
      <w:pPr>
        <w:jc w:val="both"/>
      </w:pPr>
      <w:r w:rsidRPr="008C10E6">
        <w:lastRenderedPageBreak/>
        <w:t>Les lots ne sont pas scindables : l’entreprise devra présenter pour chacun des lots, une offre complète de prix pour l’ensemble de la prestation.</w:t>
      </w:r>
    </w:p>
    <w:p w14:paraId="7C2C5DC5" w14:textId="692152FB" w:rsidR="00797DCE" w:rsidRDefault="00797DCE" w:rsidP="008C10E6">
      <w:pPr>
        <w:jc w:val="both"/>
      </w:pPr>
      <w:r w:rsidRPr="008C10E6">
        <w:t>Le non-respect de cette disposition entraînera le droit de rejet de l’offre incomplète comme non conforme.</w:t>
      </w:r>
    </w:p>
    <w:p w14:paraId="54756C07" w14:textId="77777777" w:rsidR="00E32B8A" w:rsidRDefault="00E32B8A" w:rsidP="008C10E6">
      <w:pPr>
        <w:jc w:val="both"/>
      </w:pPr>
    </w:p>
    <w:p w14:paraId="4F0CA508" w14:textId="5AB43879" w:rsidR="00797DCE" w:rsidRPr="00FA00BA" w:rsidRDefault="00797DCE" w:rsidP="00797DCE">
      <w:pPr>
        <w:rPr>
          <w:b/>
          <w:bCs/>
        </w:rPr>
      </w:pPr>
      <w:r w:rsidRPr="00FA00BA">
        <w:rPr>
          <w:b/>
          <w:bCs/>
        </w:rPr>
        <w:t>2.2 – Variantes</w:t>
      </w:r>
      <w:r w:rsidR="00E32B8A" w:rsidRPr="00FA00BA">
        <w:rPr>
          <w:b/>
          <w:bCs/>
        </w:rPr>
        <w:t xml:space="preserve"> </w:t>
      </w:r>
    </w:p>
    <w:p w14:paraId="78591C6F" w14:textId="6C6E7494" w:rsidR="00797DCE" w:rsidRPr="00FA00BA" w:rsidRDefault="00797DCE" w:rsidP="008C10E6">
      <w:pPr>
        <w:jc w:val="both"/>
      </w:pPr>
      <w:r w:rsidRPr="00FA00BA">
        <w:t>Chaque candidat doit présenter une proposition de base entièrement conforme au dossier de consultation. Mais il est possible de présenter des propositions supplémentaires, notamment des prestations de services complémentaires, à la condition expresse que leur nature et leur coût apparaissent distinctement en annexe de l’acte d’engagement.</w:t>
      </w:r>
    </w:p>
    <w:p w14:paraId="25CF6DA3" w14:textId="77777777" w:rsidR="00FE7668" w:rsidRDefault="00FE7668" w:rsidP="00FE7668"/>
    <w:p w14:paraId="2F117AAC" w14:textId="4C980525" w:rsidR="00FE7668" w:rsidRPr="008C10E6" w:rsidRDefault="00FE7668" w:rsidP="00FE7668">
      <w:pPr>
        <w:rPr>
          <w:b/>
          <w:bCs/>
        </w:rPr>
      </w:pPr>
      <w:r w:rsidRPr="008C10E6">
        <w:rPr>
          <w:b/>
          <w:bCs/>
        </w:rPr>
        <w:t>2.</w:t>
      </w:r>
      <w:r w:rsidR="00823E63">
        <w:rPr>
          <w:b/>
          <w:bCs/>
        </w:rPr>
        <w:t>3</w:t>
      </w:r>
      <w:r w:rsidRPr="008C10E6">
        <w:rPr>
          <w:b/>
          <w:bCs/>
        </w:rPr>
        <w:t xml:space="preserve"> – </w:t>
      </w:r>
      <w:r>
        <w:rPr>
          <w:b/>
          <w:bCs/>
        </w:rPr>
        <w:t>Conditions d’obtention du dossier de consultation</w:t>
      </w:r>
    </w:p>
    <w:p w14:paraId="6175FE5A" w14:textId="388BD325" w:rsidR="00FE7668" w:rsidRPr="00C36B2C" w:rsidRDefault="00FE7668" w:rsidP="00FE7668">
      <w:pPr>
        <w:widowControl w:val="0"/>
        <w:suppressAutoHyphens/>
        <w:autoSpaceDE w:val="0"/>
        <w:spacing w:after="0" w:line="240" w:lineRule="auto"/>
        <w:jc w:val="both"/>
        <w:rPr>
          <w:rFonts w:cs="Arial"/>
          <w:shd w:val="clear" w:color="auto" w:fill="FFFFFF"/>
        </w:rPr>
      </w:pPr>
      <w:r>
        <w:rPr>
          <w:rFonts w:eastAsia="Times New Roman" w:cs="Arial"/>
          <w:lang w:eastAsia="ar-SA"/>
        </w:rPr>
        <w:t xml:space="preserve">Le dossier de consultation est à retirer </w:t>
      </w:r>
      <w:r w:rsidRPr="00C36B2C">
        <w:rPr>
          <w:rFonts w:eastAsia="Times New Roman" w:cs="Arial"/>
          <w:lang w:eastAsia="ar-SA"/>
        </w:rPr>
        <w:t xml:space="preserve">de manière dématérialisée sur la plateforme </w:t>
      </w:r>
      <w:r w:rsidRPr="00C36B2C">
        <w:rPr>
          <w:rFonts w:cs="Arial"/>
          <w:shd w:val="clear" w:color="auto" w:fill="FFFFFF"/>
        </w:rPr>
        <w:t> </w:t>
      </w:r>
      <w:hyperlink r:id="rId13" w:tgtFrame="_blank" w:history="1">
        <w:r w:rsidRPr="00C36B2C">
          <w:rPr>
            <w:rFonts w:cs="Arial"/>
            <w:u w:val="single"/>
            <w:shd w:val="clear" w:color="auto" w:fill="FFFFFF"/>
          </w:rPr>
          <w:t>https://demat-ampa.fr</w:t>
        </w:r>
      </w:hyperlink>
      <w:r w:rsidRPr="00C36B2C">
        <w:rPr>
          <w:rFonts w:cs="Arial"/>
          <w:shd w:val="clear" w:color="auto" w:fill="FFFFFF"/>
        </w:rPr>
        <w:t xml:space="preserve">. </w:t>
      </w:r>
    </w:p>
    <w:p w14:paraId="06ABBD82" w14:textId="77777777" w:rsidR="00FE7668" w:rsidRPr="00C36B2C" w:rsidRDefault="00FE7668" w:rsidP="00FE7668">
      <w:pPr>
        <w:widowControl w:val="0"/>
        <w:suppressAutoHyphens/>
        <w:autoSpaceDE w:val="0"/>
        <w:spacing w:after="0" w:line="240" w:lineRule="auto"/>
        <w:jc w:val="both"/>
        <w:rPr>
          <w:rFonts w:eastAsia="Times New Roman" w:cs="Arial"/>
          <w:color w:val="FF0000"/>
          <w:lang w:eastAsia="ar-SA"/>
        </w:rPr>
      </w:pPr>
    </w:p>
    <w:p w14:paraId="0591CC8B" w14:textId="77777777" w:rsidR="00FE7668" w:rsidRPr="00C36B2C" w:rsidRDefault="00FE7668" w:rsidP="00FE7668">
      <w:pPr>
        <w:jc w:val="both"/>
        <w:rPr>
          <w:rFonts w:cs="Arial"/>
          <w:lang w:eastAsia="fr-FR"/>
        </w:rPr>
      </w:pPr>
      <w:r w:rsidRPr="00C36B2C">
        <w:rPr>
          <w:rFonts w:cs="Arial"/>
          <w:lang w:eastAsia="fr-FR"/>
        </w:rPr>
        <w:t>Pour toute demande d'assistance technique, vous pouvez utiliser l'assistance en ligne ou le support téléphonique joignable au </w:t>
      </w:r>
      <w:r w:rsidRPr="00C36B2C">
        <w:rPr>
          <w:rFonts w:cs="Arial"/>
          <w:b/>
          <w:bCs/>
          <w:lang w:eastAsia="fr-FR"/>
        </w:rPr>
        <w:t>01 76 64 74 03.</w:t>
      </w:r>
    </w:p>
    <w:p w14:paraId="484793AE" w14:textId="77777777" w:rsidR="00C84EE9" w:rsidRDefault="00C84EE9" w:rsidP="00773624"/>
    <w:p w14:paraId="48B31245" w14:textId="4A38521B" w:rsidR="00A03B3E" w:rsidRPr="008C10E6" w:rsidRDefault="00A03B3E" w:rsidP="008C10E6">
      <w:pPr>
        <w:jc w:val="both"/>
        <w:rPr>
          <w:b/>
          <w:bCs/>
          <w:u w:val="single"/>
        </w:rPr>
      </w:pPr>
      <w:r w:rsidRPr="008C10E6">
        <w:rPr>
          <w:b/>
          <w:bCs/>
          <w:u w:val="single"/>
        </w:rPr>
        <w:t xml:space="preserve">Article </w:t>
      </w:r>
      <w:r w:rsidR="00292D0A" w:rsidRPr="008C10E6">
        <w:rPr>
          <w:b/>
          <w:bCs/>
          <w:u w:val="single"/>
        </w:rPr>
        <w:t>3</w:t>
      </w:r>
      <w:r w:rsidRPr="008C10E6">
        <w:rPr>
          <w:b/>
          <w:bCs/>
          <w:u w:val="single"/>
        </w:rPr>
        <w:t xml:space="preserve"> – Validité des actes d’engagement</w:t>
      </w:r>
    </w:p>
    <w:p w14:paraId="16A24127" w14:textId="43A95E1F" w:rsidR="00A03B3E" w:rsidRPr="00BF15EA" w:rsidRDefault="00A03B3E" w:rsidP="008C10E6">
      <w:pPr>
        <w:jc w:val="both"/>
      </w:pPr>
      <w:r w:rsidRPr="00BF15EA">
        <w:t>Les candidats devront maintenir leur offre jusqu’à la date d’exécution du marché, à savoir jusqu’au 1</w:t>
      </w:r>
      <w:r w:rsidRPr="00BF15EA">
        <w:rPr>
          <w:vertAlign w:val="superscript"/>
        </w:rPr>
        <w:t>er</w:t>
      </w:r>
      <w:r w:rsidRPr="00BF15EA">
        <w:t xml:space="preserve"> janvier 202</w:t>
      </w:r>
      <w:r w:rsidR="00823E63" w:rsidRPr="00BF15EA">
        <w:t>6</w:t>
      </w:r>
      <w:r w:rsidRPr="00BF15EA">
        <w:t>.</w:t>
      </w:r>
    </w:p>
    <w:p w14:paraId="19658F97" w14:textId="77777777" w:rsidR="007F264E" w:rsidRPr="00BF15EA" w:rsidRDefault="007F264E" w:rsidP="008C10E6">
      <w:pPr>
        <w:jc w:val="both"/>
      </w:pPr>
    </w:p>
    <w:p w14:paraId="41572145" w14:textId="66440927" w:rsidR="00A03B3E" w:rsidRPr="00A03B3E" w:rsidRDefault="00292D0A" w:rsidP="008C10E6">
      <w:pPr>
        <w:jc w:val="both"/>
        <w:rPr>
          <w:b/>
          <w:bCs/>
        </w:rPr>
      </w:pPr>
      <w:r w:rsidRPr="008C10E6">
        <w:rPr>
          <w:b/>
          <w:bCs/>
        </w:rPr>
        <w:t>3</w:t>
      </w:r>
      <w:r w:rsidR="00A03B3E" w:rsidRPr="008C10E6">
        <w:rPr>
          <w:b/>
          <w:bCs/>
        </w:rPr>
        <w:t>.1 – Durée du marché</w:t>
      </w:r>
      <w:r w:rsidR="00A03B3E" w:rsidRPr="00A03B3E">
        <w:rPr>
          <w:b/>
          <w:bCs/>
        </w:rPr>
        <w:t xml:space="preserve"> </w:t>
      </w:r>
    </w:p>
    <w:p w14:paraId="4DAF5ABA" w14:textId="731BE4F2" w:rsidR="00A03B3E" w:rsidRPr="00BF15EA" w:rsidRDefault="00A03B3E" w:rsidP="008C10E6">
      <w:pPr>
        <w:jc w:val="both"/>
      </w:pPr>
      <w:r w:rsidRPr="00BF15EA">
        <w:t xml:space="preserve">A partir de l’effet de sa notification, le marché est prévu pour une durée de </w:t>
      </w:r>
      <w:r w:rsidR="00823E63" w:rsidRPr="00BF15EA">
        <w:t>3</w:t>
      </w:r>
      <w:r w:rsidRPr="00BF15EA">
        <w:t xml:space="preserve"> ans et prendra effet </w:t>
      </w:r>
      <w:r w:rsidR="00292D0A" w:rsidRPr="00BF15EA">
        <w:t>le 1</w:t>
      </w:r>
      <w:r w:rsidR="00292D0A" w:rsidRPr="00BF15EA">
        <w:rPr>
          <w:vertAlign w:val="superscript"/>
        </w:rPr>
        <w:t>er</w:t>
      </w:r>
      <w:r w:rsidR="00292D0A" w:rsidRPr="00BF15EA">
        <w:t xml:space="preserve"> janvier 202</w:t>
      </w:r>
      <w:r w:rsidR="00823E63" w:rsidRPr="00BF15EA">
        <w:t>6</w:t>
      </w:r>
      <w:r w:rsidR="00292D0A" w:rsidRPr="00BF15EA">
        <w:t xml:space="preserve"> jusqu’au 31 décembre 202</w:t>
      </w:r>
      <w:r w:rsidR="001D24B8" w:rsidRPr="00BF15EA">
        <w:t>8</w:t>
      </w:r>
      <w:r w:rsidR="00292D0A" w:rsidRPr="00BF15EA">
        <w:t>. La date anniversaire est le 1</w:t>
      </w:r>
      <w:r w:rsidR="00292D0A" w:rsidRPr="00BF15EA">
        <w:rPr>
          <w:vertAlign w:val="superscript"/>
        </w:rPr>
        <w:t>er</w:t>
      </w:r>
      <w:r w:rsidR="00292D0A" w:rsidRPr="00BF15EA">
        <w:t xml:space="preserve"> janvier. Il peut cependant être mis fin au marché, par chacune des parties, par lettre recommandée avec accusé de réception à la date d’anniversaire du marché sous réserve de respecter un préavis de trois mois.</w:t>
      </w:r>
      <w:r w:rsidR="00823E63" w:rsidRPr="00BF15EA">
        <w:t xml:space="preserve"> </w:t>
      </w:r>
    </w:p>
    <w:p w14:paraId="1DB9F59D" w14:textId="5B1FFB5A" w:rsidR="00A03B3E" w:rsidRPr="00BF15EA" w:rsidRDefault="00A03B3E" w:rsidP="00773624"/>
    <w:p w14:paraId="74FA91E5" w14:textId="37DDB44C" w:rsidR="00292D0A" w:rsidRPr="00BF15EA" w:rsidRDefault="00292D0A" w:rsidP="008C10E6">
      <w:pPr>
        <w:jc w:val="both"/>
        <w:rPr>
          <w:b/>
          <w:bCs/>
          <w:u w:val="single"/>
        </w:rPr>
      </w:pPr>
      <w:r w:rsidRPr="00BF15EA">
        <w:rPr>
          <w:b/>
          <w:bCs/>
          <w:u w:val="single"/>
        </w:rPr>
        <w:t>Article 4 – Négociation</w:t>
      </w:r>
      <w:r w:rsidRPr="00BF15EA">
        <w:rPr>
          <w:b/>
          <w:bCs/>
        </w:rPr>
        <w:t xml:space="preserve"> </w:t>
      </w:r>
    </w:p>
    <w:p w14:paraId="538116F8" w14:textId="72AE943C" w:rsidR="00773624" w:rsidRPr="00BF15EA" w:rsidRDefault="00292D0A" w:rsidP="008C10E6">
      <w:pPr>
        <w:jc w:val="both"/>
      </w:pPr>
      <w:r w:rsidRPr="00BF15EA">
        <w:t>Il est entendu que le souscripteur se réserve le droit de recourir à la négociation des offres formulées avec le ou les candidats de son choix lorsque ceci apparaît opportun pour le souscripteur. Toutefois, cette possibilité ne l’empêche pas d’attribuer le marché sur la base des offres initiales sans négociation.</w:t>
      </w:r>
    </w:p>
    <w:p w14:paraId="011728E6" w14:textId="77777777" w:rsidR="00165125" w:rsidRDefault="00165125" w:rsidP="00165125">
      <w:pPr>
        <w:rPr>
          <w:b/>
          <w:bCs/>
          <w:u w:val="single"/>
        </w:rPr>
      </w:pPr>
    </w:p>
    <w:p w14:paraId="40587288" w14:textId="77777777" w:rsidR="00744ACC" w:rsidRDefault="00744ACC" w:rsidP="00165125">
      <w:pPr>
        <w:rPr>
          <w:b/>
          <w:bCs/>
          <w:u w:val="single"/>
        </w:rPr>
      </w:pPr>
    </w:p>
    <w:p w14:paraId="42025087" w14:textId="77777777" w:rsidR="00744ACC" w:rsidRDefault="00744ACC" w:rsidP="00165125">
      <w:pPr>
        <w:rPr>
          <w:b/>
          <w:bCs/>
          <w:u w:val="single"/>
        </w:rPr>
      </w:pPr>
    </w:p>
    <w:p w14:paraId="1856806A" w14:textId="77777777" w:rsidR="00744ACC" w:rsidRPr="00BF15EA" w:rsidRDefault="00744ACC" w:rsidP="00165125">
      <w:pPr>
        <w:rPr>
          <w:b/>
          <w:bCs/>
          <w:u w:val="single"/>
        </w:rPr>
      </w:pPr>
    </w:p>
    <w:p w14:paraId="591B4C1A" w14:textId="774DDCA9" w:rsidR="00165125" w:rsidRPr="00165125" w:rsidRDefault="00165125" w:rsidP="00165125">
      <w:pPr>
        <w:rPr>
          <w:b/>
          <w:bCs/>
          <w:u w:val="single"/>
        </w:rPr>
      </w:pPr>
      <w:r w:rsidRPr="00165125">
        <w:rPr>
          <w:b/>
          <w:bCs/>
          <w:u w:val="single"/>
        </w:rPr>
        <w:lastRenderedPageBreak/>
        <w:t>Article 5 – Visite des locaux</w:t>
      </w:r>
    </w:p>
    <w:p w14:paraId="344F7EAD" w14:textId="2EA5A663" w:rsidR="00744ACC" w:rsidRPr="000B18F8" w:rsidRDefault="00165125" w:rsidP="00744ACC">
      <w:pPr>
        <w:jc w:val="both"/>
        <w:rPr>
          <w:bCs/>
        </w:rPr>
      </w:pPr>
      <w:r w:rsidRPr="00165125">
        <w:rPr>
          <w:bCs/>
        </w:rPr>
        <w:t>Une visite des locaux concernés par le présent marché</w:t>
      </w:r>
      <w:r w:rsidR="00744ACC">
        <w:rPr>
          <w:bCs/>
        </w:rPr>
        <w:t xml:space="preserve">, </w:t>
      </w:r>
      <w:r w:rsidRPr="00165125">
        <w:rPr>
          <w:bCs/>
        </w:rPr>
        <w:t>pourra être organisée afin de permettre aux candidats d’apprécier la nature et l’ampleur des prestations à réaliser.</w:t>
      </w:r>
      <w:r w:rsidR="00744ACC">
        <w:rPr>
          <w:bCs/>
        </w:rPr>
        <w:t xml:space="preserve"> </w:t>
      </w:r>
      <w:r w:rsidR="00744ACC" w:rsidRPr="000B18F8">
        <w:rPr>
          <w:bCs/>
        </w:rPr>
        <w:t xml:space="preserve">Une visite des sanitaires </w:t>
      </w:r>
      <w:proofErr w:type="spellStart"/>
      <w:r w:rsidR="00744ACC" w:rsidRPr="000B18F8">
        <w:rPr>
          <w:bCs/>
        </w:rPr>
        <w:t>Holzarte</w:t>
      </w:r>
      <w:proofErr w:type="spellEnd"/>
      <w:r w:rsidR="00744ACC" w:rsidRPr="000B18F8">
        <w:rPr>
          <w:bCs/>
        </w:rPr>
        <w:t xml:space="preserve"> (Lot n° 3 - tranche conditionnelle) n’est pas possible (mise en place temporaire 6 semaines en juillet et août).</w:t>
      </w:r>
    </w:p>
    <w:p w14:paraId="398FE446" w14:textId="77777777" w:rsidR="00165125" w:rsidRPr="00BF15EA" w:rsidRDefault="00165125" w:rsidP="00535905">
      <w:pPr>
        <w:jc w:val="both"/>
        <w:rPr>
          <w:bCs/>
        </w:rPr>
      </w:pPr>
      <w:r w:rsidRPr="00BF15EA">
        <w:rPr>
          <w:bCs/>
        </w:rPr>
        <w:t xml:space="preserve">Cette visite est </w:t>
      </w:r>
      <w:r w:rsidRPr="00BF15EA">
        <w:t>facultative</w:t>
      </w:r>
      <w:r w:rsidRPr="00BF15EA">
        <w:rPr>
          <w:bCs/>
        </w:rPr>
        <w:t xml:space="preserve"> et n’est pas une condition de recevabilité des offres.</w:t>
      </w:r>
    </w:p>
    <w:p w14:paraId="603512B1" w14:textId="1D1D3046" w:rsidR="00165125" w:rsidRPr="00BF15EA" w:rsidRDefault="00165125" w:rsidP="00535905">
      <w:pPr>
        <w:jc w:val="both"/>
        <w:rPr>
          <w:bCs/>
        </w:rPr>
      </w:pPr>
      <w:r w:rsidRPr="00BF15EA">
        <w:rPr>
          <w:bCs/>
        </w:rPr>
        <w:t xml:space="preserve">Les candidats qui souhaitent effectuer une visite devront en faire la demande préalable auprès du Maître d’ouvrage, selon les modalités précisées dans le cahier des charges. </w:t>
      </w:r>
    </w:p>
    <w:p w14:paraId="6F1AF228" w14:textId="77777777" w:rsidR="00165125" w:rsidRPr="00BF15EA" w:rsidRDefault="00165125" w:rsidP="00535905">
      <w:pPr>
        <w:jc w:val="both"/>
        <w:rPr>
          <w:bCs/>
        </w:rPr>
      </w:pPr>
      <w:r w:rsidRPr="00BF15EA">
        <w:rPr>
          <w:bCs/>
        </w:rPr>
        <w:t>Lors de cette visite, aucune information complémentaire engageant le Maître d’ouvrage ne sera communiquée en dehors des éléments du dossier de consultation.</w:t>
      </w:r>
    </w:p>
    <w:p w14:paraId="77C8CAE9" w14:textId="77777777" w:rsidR="00165125" w:rsidRPr="00BF15EA" w:rsidRDefault="00165125" w:rsidP="00535905">
      <w:pPr>
        <w:jc w:val="both"/>
        <w:rPr>
          <w:bCs/>
        </w:rPr>
      </w:pPr>
      <w:r w:rsidRPr="00BF15EA">
        <w:rPr>
          <w:bCs/>
        </w:rPr>
        <w:t>Il appartient au candidat de recueillir toutes les informations nécessaires à l’établissement de son offre.</w:t>
      </w:r>
    </w:p>
    <w:p w14:paraId="794F2D39" w14:textId="77777777" w:rsidR="00165125" w:rsidRDefault="00165125" w:rsidP="00DD7614">
      <w:pPr>
        <w:rPr>
          <w:b/>
          <w:u w:val="single"/>
        </w:rPr>
      </w:pPr>
    </w:p>
    <w:p w14:paraId="0D210CB3" w14:textId="6AFEF219" w:rsidR="00DD7614" w:rsidRDefault="00DD7614" w:rsidP="00DD7614">
      <w:pPr>
        <w:rPr>
          <w:b/>
          <w:u w:val="single"/>
        </w:rPr>
      </w:pPr>
      <w:r w:rsidRPr="008C10E6">
        <w:rPr>
          <w:b/>
          <w:u w:val="single"/>
        </w:rPr>
        <w:t xml:space="preserve">Article </w:t>
      </w:r>
      <w:r w:rsidR="00165125">
        <w:rPr>
          <w:b/>
          <w:u w:val="single"/>
        </w:rPr>
        <w:t>6</w:t>
      </w:r>
      <w:r w:rsidRPr="008C10E6">
        <w:rPr>
          <w:b/>
          <w:u w:val="single"/>
        </w:rPr>
        <w:t xml:space="preserve"> </w:t>
      </w:r>
      <w:r w:rsidR="00FE0BE4" w:rsidRPr="00FE0BE4">
        <w:rPr>
          <w:b/>
          <w:bCs/>
          <w:u w:val="single"/>
        </w:rPr>
        <w:t xml:space="preserve">– </w:t>
      </w:r>
      <w:r w:rsidRPr="008C10E6">
        <w:rPr>
          <w:b/>
          <w:u w:val="single"/>
        </w:rPr>
        <w:t>Procédure de passation de marché</w:t>
      </w:r>
    </w:p>
    <w:p w14:paraId="64936BA3" w14:textId="7AC6AE31" w:rsidR="00CC2BAC" w:rsidRPr="00BF15EA" w:rsidRDefault="00165125" w:rsidP="00CC2BAC">
      <w:pPr>
        <w:rPr>
          <w:rFonts w:cstheme="minorHAnsi"/>
          <w:b/>
          <w:iCs/>
        </w:rPr>
      </w:pPr>
      <w:r w:rsidRPr="00BF15EA">
        <w:rPr>
          <w:rFonts w:cstheme="minorHAnsi"/>
          <w:b/>
          <w:iCs/>
        </w:rPr>
        <w:t>6</w:t>
      </w:r>
      <w:r w:rsidR="00CC2BAC" w:rsidRPr="00BF15EA">
        <w:rPr>
          <w:rFonts w:cstheme="minorHAnsi"/>
          <w:b/>
          <w:iCs/>
        </w:rPr>
        <w:t xml:space="preserve">.1 </w:t>
      </w:r>
      <w:r w:rsidRPr="00BF15EA">
        <w:rPr>
          <w:rFonts w:cstheme="minorHAnsi"/>
          <w:b/>
          <w:iCs/>
        </w:rPr>
        <w:t xml:space="preserve">– </w:t>
      </w:r>
      <w:r w:rsidR="00CC2BAC" w:rsidRPr="00BF15EA">
        <w:rPr>
          <w:rFonts w:cstheme="minorHAnsi"/>
          <w:b/>
          <w:iCs/>
        </w:rPr>
        <w:t>Forme juridique de l’attributaire</w:t>
      </w:r>
    </w:p>
    <w:p w14:paraId="06952BD4" w14:textId="77777777" w:rsidR="00CC2BAC" w:rsidRPr="00BF15EA" w:rsidRDefault="00CC2BAC" w:rsidP="00CC2BAC">
      <w:pPr>
        <w:autoSpaceDE w:val="0"/>
        <w:autoSpaceDN w:val="0"/>
        <w:adjustRightInd w:val="0"/>
        <w:spacing w:after="0" w:line="240" w:lineRule="auto"/>
        <w:jc w:val="both"/>
        <w:rPr>
          <w:rFonts w:ascii="Calibri" w:hAnsi="Calibri" w:cs="Calibri"/>
        </w:rPr>
      </w:pPr>
      <w:r w:rsidRPr="00BF15EA">
        <w:rPr>
          <w:rFonts w:ascii="Calibri" w:hAnsi="Calibri" w:cs="Calibri"/>
        </w:rPr>
        <w:t>Les candidats peuvent présenter une offre, soit en qualité de candidats individuels, soit en qualité de membres d’un ou plusieurs groupements.</w:t>
      </w:r>
    </w:p>
    <w:p w14:paraId="23BF0ECD" w14:textId="77777777" w:rsidR="00CC2BAC" w:rsidRPr="00BF15EA" w:rsidRDefault="00CC2BAC" w:rsidP="00CC2BAC">
      <w:pPr>
        <w:autoSpaceDE w:val="0"/>
        <w:autoSpaceDN w:val="0"/>
        <w:adjustRightInd w:val="0"/>
        <w:spacing w:after="0" w:line="240" w:lineRule="auto"/>
        <w:jc w:val="both"/>
        <w:rPr>
          <w:rFonts w:ascii="Calibri" w:hAnsi="Calibri" w:cs="Calibri"/>
        </w:rPr>
      </w:pPr>
      <w:r w:rsidRPr="00BF15EA">
        <w:rPr>
          <w:rFonts w:ascii="Calibri" w:hAnsi="Calibri" w:cs="Calibri"/>
        </w:rPr>
        <w:t>Quel que soit le mode d’attribution du marché, l’entreprise mandataire d’un groupement ne peut représenter, en cette qualité, plus d’un groupement pour un même marché.</w:t>
      </w:r>
    </w:p>
    <w:p w14:paraId="73A79D72" w14:textId="77777777" w:rsidR="00CC2BAC" w:rsidRPr="00BF15EA" w:rsidRDefault="00CC2BAC" w:rsidP="00CC2BAC">
      <w:pPr>
        <w:autoSpaceDE w:val="0"/>
        <w:autoSpaceDN w:val="0"/>
        <w:adjustRightInd w:val="0"/>
        <w:spacing w:after="0" w:line="240" w:lineRule="auto"/>
        <w:jc w:val="both"/>
        <w:rPr>
          <w:rFonts w:ascii="Calibri" w:hAnsi="Calibri" w:cs="Calibri"/>
        </w:rPr>
      </w:pPr>
      <w:r w:rsidRPr="00BF15EA">
        <w:rPr>
          <w:rFonts w:ascii="Calibri" w:hAnsi="Calibri" w:cs="Calibri"/>
        </w:rPr>
        <w:t>Les candidatures et les offres sont présentées soit par l’ensemble des opérateurs économiques groupés, soit par le mandataire s’il justifie des habilitations nécessaires pour représenter ces opérateurs économiques au stade de la passation du marché.</w:t>
      </w:r>
    </w:p>
    <w:p w14:paraId="0050097E" w14:textId="77777777" w:rsidR="00CC2BAC" w:rsidRPr="00BF15EA" w:rsidRDefault="00CC2BAC" w:rsidP="00CC2BAC">
      <w:pPr>
        <w:autoSpaceDE w:val="0"/>
        <w:autoSpaceDN w:val="0"/>
        <w:adjustRightInd w:val="0"/>
        <w:spacing w:after="0" w:line="240" w:lineRule="auto"/>
        <w:jc w:val="both"/>
        <w:rPr>
          <w:rFonts w:ascii="Calibri" w:hAnsi="Calibri" w:cs="Calibri"/>
        </w:rPr>
      </w:pPr>
      <w:r w:rsidRPr="00BF15EA">
        <w:rPr>
          <w:rFonts w:ascii="Calibri" w:hAnsi="Calibri" w:cs="Calibri"/>
        </w:rPr>
        <w:t>La composition du groupement ne peut être modifiée entre la date de remise des candidatures et la date de signature du marché.</w:t>
      </w:r>
    </w:p>
    <w:p w14:paraId="1988C99E" w14:textId="77777777" w:rsidR="00CC2BAC" w:rsidRPr="00BF15EA" w:rsidRDefault="00CC2BAC" w:rsidP="00CC2BAC">
      <w:pPr>
        <w:autoSpaceDE w:val="0"/>
        <w:autoSpaceDN w:val="0"/>
        <w:adjustRightInd w:val="0"/>
        <w:spacing w:after="0" w:line="240" w:lineRule="auto"/>
        <w:jc w:val="both"/>
        <w:rPr>
          <w:rFonts w:ascii="Calibri" w:hAnsi="Calibri" w:cs="Calibri"/>
        </w:rPr>
      </w:pPr>
    </w:p>
    <w:p w14:paraId="54056FA5" w14:textId="74EA3E54" w:rsidR="00DD7614" w:rsidRPr="00BF15EA" w:rsidRDefault="00165125" w:rsidP="00DD7614">
      <w:pPr>
        <w:jc w:val="both"/>
        <w:rPr>
          <w:b/>
          <w:iCs/>
        </w:rPr>
      </w:pPr>
      <w:r w:rsidRPr="00BF15EA">
        <w:rPr>
          <w:b/>
          <w:iCs/>
        </w:rPr>
        <w:t>6</w:t>
      </w:r>
      <w:r w:rsidR="00DD7614" w:rsidRPr="00BF15EA">
        <w:rPr>
          <w:b/>
          <w:iCs/>
        </w:rPr>
        <w:t>.2</w:t>
      </w:r>
      <w:r w:rsidR="00356267" w:rsidRPr="00BF15EA">
        <w:rPr>
          <w:b/>
          <w:iCs/>
        </w:rPr>
        <w:t xml:space="preserve"> </w:t>
      </w:r>
      <w:r w:rsidR="00FE0BE4" w:rsidRPr="00BF15EA">
        <w:rPr>
          <w:b/>
          <w:bCs/>
        </w:rPr>
        <w:t xml:space="preserve">– </w:t>
      </w:r>
      <w:r w:rsidR="00DD7614" w:rsidRPr="00BF15EA">
        <w:rPr>
          <w:b/>
          <w:iCs/>
        </w:rPr>
        <w:t>Pièces à fournir</w:t>
      </w:r>
    </w:p>
    <w:p w14:paraId="0085DB8F" w14:textId="03C67EDB" w:rsidR="00DD7614" w:rsidRDefault="00DD7614" w:rsidP="00C84EE9">
      <w:pPr>
        <w:jc w:val="both"/>
      </w:pPr>
      <w:r>
        <w:rPr>
          <w:bCs/>
          <w:iCs/>
        </w:rPr>
        <w:t>Pour participer à la consultation</w:t>
      </w:r>
      <w:r>
        <w:t>, chaque candidat devra fournir obligatoirement une proposition comport</w:t>
      </w:r>
      <w:r w:rsidR="002E40C4">
        <w:t>ant</w:t>
      </w:r>
      <w:r>
        <w:t xml:space="preserve"> pour chaque lot, les pièces énumérées ci-après :</w:t>
      </w:r>
    </w:p>
    <w:p w14:paraId="5728C26E" w14:textId="77777777" w:rsidR="00DD7614" w:rsidRPr="00356267" w:rsidRDefault="00DD7614" w:rsidP="00DD7614">
      <w:pPr>
        <w:pStyle w:val="Corpsdetexte"/>
        <w:rPr>
          <w:rFonts w:asciiTheme="minorHAnsi" w:hAnsiTheme="minorHAnsi" w:cstheme="minorHAnsi"/>
          <w:sz w:val="22"/>
          <w:szCs w:val="22"/>
        </w:rPr>
      </w:pPr>
      <w:r w:rsidRPr="00356267">
        <w:rPr>
          <w:rFonts w:asciiTheme="minorHAnsi" w:hAnsiTheme="minorHAnsi" w:cstheme="minorHAnsi"/>
          <w:sz w:val="22"/>
          <w:szCs w:val="22"/>
        </w:rPr>
        <w:t xml:space="preserve">1) </w:t>
      </w:r>
      <w:r w:rsidRPr="00356267">
        <w:rPr>
          <w:rFonts w:asciiTheme="minorHAnsi" w:hAnsiTheme="minorHAnsi" w:cstheme="minorHAnsi"/>
          <w:sz w:val="22"/>
          <w:szCs w:val="22"/>
        </w:rPr>
        <w:tab/>
        <w:t xml:space="preserve">L’acte d’engagement (A.E) complété par lot auquel le candidat a répondu </w:t>
      </w:r>
    </w:p>
    <w:p w14:paraId="51B7D48F" w14:textId="77777777" w:rsidR="00DD7614" w:rsidRPr="00356267" w:rsidRDefault="00DD7614" w:rsidP="00356267">
      <w:pPr>
        <w:spacing w:after="0" w:line="240" w:lineRule="auto"/>
        <w:jc w:val="both"/>
        <w:rPr>
          <w:rFonts w:cstheme="minorHAnsi"/>
        </w:rPr>
      </w:pPr>
      <w:r w:rsidRPr="00356267">
        <w:rPr>
          <w:rFonts w:cstheme="minorHAnsi"/>
        </w:rPr>
        <w:t xml:space="preserve">2) </w:t>
      </w:r>
      <w:r w:rsidRPr="00356267">
        <w:rPr>
          <w:rFonts w:cstheme="minorHAnsi"/>
        </w:rPr>
        <w:tab/>
        <w:t>Le règlement de consultation</w:t>
      </w:r>
    </w:p>
    <w:p w14:paraId="146244F9" w14:textId="40D4C0CC" w:rsidR="00DD7614" w:rsidRPr="00DD07C2" w:rsidRDefault="00DD7614" w:rsidP="00DD7614">
      <w:pPr>
        <w:numPr>
          <w:ilvl w:val="0"/>
          <w:numId w:val="1"/>
        </w:numPr>
        <w:tabs>
          <w:tab w:val="clear" w:pos="1065"/>
          <w:tab w:val="num" w:pos="720"/>
        </w:tabs>
        <w:spacing w:after="0" w:line="240" w:lineRule="auto"/>
        <w:ind w:hanging="1065"/>
        <w:jc w:val="both"/>
        <w:rPr>
          <w:rFonts w:cstheme="minorHAnsi"/>
        </w:rPr>
      </w:pPr>
      <w:r w:rsidRPr="00DD07C2">
        <w:rPr>
          <w:rFonts w:cstheme="minorHAnsi"/>
        </w:rPr>
        <w:t xml:space="preserve">Le cahier des charges </w:t>
      </w:r>
    </w:p>
    <w:p w14:paraId="33A48C6D" w14:textId="77777777" w:rsidR="00DD7614" w:rsidRPr="00356267" w:rsidRDefault="00DD7614" w:rsidP="00DD7614">
      <w:pPr>
        <w:numPr>
          <w:ilvl w:val="0"/>
          <w:numId w:val="1"/>
        </w:numPr>
        <w:tabs>
          <w:tab w:val="clear" w:pos="1065"/>
          <w:tab w:val="num" w:pos="720"/>
        </w:tabs>
        <w:spacing w:after="0" w:line="240" w:lineRule="auto"/>
        <w:ind w:hanging="1065"/>
        <w:jc w:val="both"/>
        <w:rPr>
          <w:rFonts w:cstheme="minorHAnsi"/>
        </w:rPr>
      </w:pPr>
      <w:r w:rsidRPr="00356267">
        <w:rPr>
          <w:rFonts w:cstheme="minorHAnsi"/>
        </w:rPr>
        <w:t>Les variantes éventuellement présentées pour chaque lot</w:t>
      </w:r>
    </w:p>
    <w:p w14:paraId="486E60D8" w14:textId="77777777" w:rsidR="0003152A" w:rsidRDefault="0003152A" w:rsidP="00C84EE9">
      <w:pPr>
        <w:pStyle w:val="Corpsdetexte"/>
        <w:rPr>
          <w:rFonts w:asciiTheme="minorHAnsi" w:hAnsiTheme="minorHAnsi" w:cstheme="minorHAnsi"/>
          <w:sz w:val="22"/>
          <w:szCs w:val="22"/>
        </w:rPr>
      </w:pPr>
    </w:p>
    <w:p w14:paraId="2C7B66A5" w14:textId="6A918C18" w:rsidR="007F264E" w:rsidRDefault="00DD7614" w:rsidP="007F264E">
      <w:pPr>
        <w:pStyle w:val="Corpsdetexte"/>
        <w:rPr>
          <w:rFonts w:asciiTheme="minorHAnsi" w:hAnsiTheme="minorHAnsi" w:cstheme="minorHAnsi"/>
          <w:sz w:val="22"/>
          <w:szCs w:val="22"/>
        </w:rPr>
      </w:pPr>
      <w:r w:rsidRPr="00356267">
        <w:rPr>
          <w:rFonts w:asciiTheme="minorHAnsi" w:hAnsiTheme="minorHAnsi" w:cstheme="minorHAnsi"/>
          <w:sz w:val="22"/>
          <w:szCs w:val="22"/>
        </w:rPr>
        <w:t>Ces pièces devront porter la date, la signature et le cachet du soumissionnaire et la mention « lu et approuvé ».</w:t>
      </w:r>
    </w:p>
    <w:p w14:paraId="767F4C0C" w14:textId="77777777" w:rsidR="007F264E" w:rsidRPr="007F264E" w:rsidRDefault="007F264E" w:rsidP="007F264E">
      <w:pPr>
        <w:pStyle w:val="Corpsdetexte"/>
        <w:rPr>
          <w:rFonts w:asciiTheme="minorHAnsi" w:hAnsiTheme="minorHAnsi" w:cstheme="minorHAnsi"/>
          <w:sz w:val="22"/>
          <w:szCs w:val="22"/>
        </w:rPr>
      </w:pPr>
    </w:p>
    <w:p w14:paraId="101247D8" w14:textId="57B0961B" w:rsidR="007F264E" w:rsidRPr="00BF15EA" w:rsidRDefault="007F264E" w:rsidP="007F264E">
      <w:pPr>
        <w:spacing w:after="0" w:line="240" w:lineRule="auto"/>
        <w:jc w:val="both"/>
      </w:pPr>
      <w:r w:rsidRPr="00BF15EA">
        <w:t>Les candidats au lot n° 3 doivent présenter :</w:t>
      </w:r>
    </w:p>
    <w:p w14:paraId="285ADDC5" w14:textId="77777777" w:rsidR="007F264E" w:rsidRPr="00BF15EA" w:rsidRDefault="007F264E" w:rsidP="007F264E">
      <w:pPr>
        <w:numPr>
          <w:ilvl w:val="0"/>
          <w:numId w:val="11"/>
        </w:numPr>
        <w:spacing w:after="0" w:line="240" w:lineRule="auto"/>
        <w:jc w:val="both"/>
      </w:pPr>
      <w:proofErr w:type="gramStart"/>
      <w:r w:rsidRPr="00BF15EA">
        <w:t>un</w:t>
      </w:r>
      <w:proofErr w:type="gramEnd"/>
      <w:r w:rsidRPr="00BF15EA">
        <w:t xml:space="preserve"> prix distinct pour la tranche ferme et pour la tranche conditionnelle,</w:t>
      </w:r>
    </w:p>
    <w:p w14:paraId="40FAA02A" w14:textId="77777777" w:rsidR="007F264E" w:rsidRPr="00BF15EA" w:rsidRDefault="007F264E" w:rsidP="007F264E">
      <w:pPr>
        <w:numPr>
          <w:ilvl w:val="0"/>
          <w:numId w:val="11"/>
        </w:numPr>
        <w:spacing w:after="0" w:line="240" w:lineRule="auto"/>
        <w:jc w:val="both"/>
      </w:pPr>
      <w:proofErr w:type="gramStart"/>
      <w:r w:rsidRPr="00BF15EA">
        <w:t>un</w:t>
      </w:r>
      <w:proofErr w:type="gramEnd"/>
      <w:r w:rsidRPr="00BF15EA">
        <w:t xml:space="preserve"> acte d’engagement mentionnant ces deux tranches,</w:t>
      </w:r>
    </w:p>
    <w:p w14:paraId="69DF3DAD" w14:textId="77777777" w:rsidR="007F264E" w:rsidRPr="00BF15EA" w:rsidRDefault="007F264E" w:rsidP="007F264E">
      <w:pPr>
        <w:numPr>
          <w:ilvl w:val="0"/>
          <w:numId w:val="11"/>
        </w:numPr>
        <w:spacing w:after="0" w:line="240" w:lineRule="auto"/>
        <w:jc w:val="both"/>
      </w:pPr>
      <w:proofErr w:type="gramStart"/>
      <w:r w:rsidRPr="00BF15EA">
        <w:t>un</w:t>
      </w:r>
      <w:proofErr w:type="gramEnd"/>
      <w:r w:rsidRPr="00BF15EA">
        <w:t xml:space="preserve"> détail estimatif séparant clairement la tranche ferme et la tranche conditionnelle.</w:t>
      </w:r>
    </w:p>
    <w:p w14:paraId="23525B8E" w14:textId="77777777" w:rsidR="00356267" w:rsidRPr="00BF15EA" w:rsidRDefault="00356267" w:rsidP="00C84EE9">
      <w:pPr>
        <w:pStyle w:val="Corpsdetexte"/>
        <w:rPr>
          <w:rFonts w:asciiTheme="minorHAnsi" w:hAnsiTheme="minorHAnsi" w:cstheme="minorHAnsi"/>
          <w:sz w:val="22"/>
          <w:szCs w:val="22"/>
        </w:rPr>
      </w:pPr>
    </w:p>
    <w:p w14:paraId="27490E18" w14:textId="0C956A10" w:rsidR="006B2ACA" w:rsidRDefault="00DD7614" w:rsidP="007F264E">
      <w:pPr>
        <w:pStyle w:val="Corpsdetexte"/>
        <w:rPr>
          <w:rFonts w:asciiTheme="minorHAnsi" w:hAnsiTheme="minorHAnsi" w:cstheme="minorHAnsi"/>
          <w:sz w:val="22"/>
          <w:szCs w:val="22"/>
        </w:rPr>
      </w:pPr>
      <w:r w:rsidRPr="00356267">
        <w:rPr>
          <w:rFonts w:asciiTheme="minorHAnsi" w:hAnsiTheme="minorHAnsi" w:cstheme="minorHAnsi"/>
          <w:sz w:val="22"/>
          <w:szCs w:val="22"/>
        </w:rPr>
        <w:lastRenderedPageBreak/>
        <w:t xml:space="preserve">L’Office de Tourisme </w:t>
      </w:r>
      <w:r w:rsidR="00356267">
        <w:rPr>
          <w:rFonts w:asciiTheme="minorHAnsi" w:hAnsiTheme="minorHAnsi" w:cstheme="minorHAnsi"/>
          <w:sz w:val="22"/>
          <w:szCs w:val="22"/>
        </w:rPr>
        <w:t xml:space="preserve">Pays </w:t>
      </w:r>
      <w:proofErr w:type="gramStart"/>
      <w:r w:rsidR="00356267">
        <w:rPr>
          <w:rFonts w:asciiTheme="minorHAnsi" w:hAnsiTheme="minorHAnsi" w:cstheme="minorHAnsi"/>
          <w:sz w:val="22"/>
          <w:szCs w:val="22"/>
        </w:rPr>
        <w:t>Basque</w:t>
      </w:r>
      <w:proofErr w:type="gramEnd"/>
      <w:r w:rsidR="00356267">
        <w:rPr>
          <w:rFonts w:asciiTheme="minorHAnsi" w:hAnsiTheme="minorHAnsi" w:cstheme="minorHAnsi"/>
          <w:sz w:val="22"/>
          <w:szCs w:val="22"/>
        </w:rPr>
        <w:t xml:space="preserve"> </w:t>
      </w:r>
      <w:r w:rsidRPr="00356267">
        <w:rPr>
          <w:rFonts w:asciiTheme="minorHAnsi" w:hAnsiTheme="minorHAnsi" w:cstheme="minorHAnsi"/>
          <w:sz w:val="22"/>
          <w:szCs w:val="22"/>
        </w:rPr>
        <w:t>se réserve le droit de ne pas donner suite à la consultation sans que les fournisseurs puissent demander une quelconque indemnité.</w:t>
      </w:r>
    </w:p>
    <w:p w14:paraId="76491B9E" w14:textId="77777777" w:rsidR="007F264E" w:rsidRDefault="007F264E" w:rsidP="007F264E">
      <w:pPr>
        <w:pStyle w:val="Corpsdetexte"/>
        <w:rPr>
          <w:rFonts w:asciiTheme="minorHAnsi" w:hAnsiTheme="minorHAnsi" w:cstheme="minorHAnsi"/>
          <w:sz w:val="22"/>
          <w:szCs w:val="22"/>
        </w:rPr>
      </w:pPr>
    </w:p>
    <w:p w14:paraId="2251164C" w14:textId="77777777" w:rsidR="00FA00BA" w:rsidRPr="00FA00BA" w:rsidRDefault="00FA00BA" w:rsidP="00FA00BA">
      <w:pPr>
        <w:rPr>
          <w:lang w:eastAsia="fr-FR"/>
        </w:rPr>
      </w:pPr>
    </w:p>
    <w:p w14:paraId="33F05CA8" w14:textId="6E510EB2" w:rsidR="00DD7614" w:rsidRPr="00356267" w:rsidRDefault="00DD7614" w:rsidP="00DD7614">
      <w:pPr>
        <w:pStyle w:val="Titre2"/>
        <w:rPr>
          <w:rFonts w:asciiTheme="minorHAnsi" w:hAnsiTheme="minorHAnsi" w:cstheme="minorHAnsi"/>
          <w:sz w:val="22"/>
          <w:szCs w:val="22"/>
        </w:rPr>
      </w:pPr>
      <w:r w:rsidRPr="00C84EE9">
        <w:rPr>
          <w:rFonts w:asciiTheme="minorHAnsi" w:hAnsiTheme="minorHAnsi" w:cstheme="minorHAnsi"/>
          <w:sz w:val="22"/>
          <w:szCs w:val="22"/>
        </w:rPr>
        <w:t xml:space="preserve">Article </w:t>
      </w:r>
      <w:r w:rsidR="00165125">
        <w:rPr>
          <w:rFonts w:asciiTheme="minorHAnsi" w:hAnsiTheme="minorHAnsi" w:cstheme="minorHAnsi"/>
          <w:sz w:val="22"/>
          <w:szCs w:val="22"/>
        </w:rPr>
        <w:t xml:space="preserve">7 </w:t>
      </w:r>
      <w:r w:rsidR="00FE0BE4">
        <w:rPr>
          <w:rFonts w:asciiTheme="minorHAnsi" w:hAnsiTheme="minorHAnsi" w:cstheme="minorHAnsi"/>
          <w:sz w:val="22"/>
          <w:szCs w:val="22"/>
        </w:rPr>
        <w:t>–</w:t>
      </w:r>
      <w:r w:rsidRPr="00C84EE9">
        <w:rPr>
          <w:rFonts w:asciiTheme="minorHAnsi" w:hAnsiTheme="minorHAnsi" w:cstheme="minorHAnsi"/>
          <w:sz w:val="22"/>
          <w:szCs w:val="22"/>
        </w:rPr>
        <w:t xml:space="preserve"> Déroulement de la procédure</w:t>
      </w:r>
    </w:p>
    <w:p w14:paraId="56B08D6B" w14:textId="77777777" w:rsidR="00C84EE9" w:rsidRDefault="00C84EE9" w:rsidP="00C84EE9">
      <w:pPr>
        <w:spacing w:after="0" w:line="240" w:lineRule="auto"/>
        <w:rPr>
          <w:rFonts w:cstheme="minorHAnsi"/>
          <w:b/>
          <w:iCs/>
        </w:rPr>
      </w:pPr>
    </w:p>
    <w:p w14:paraId="7B3655D0" w14:textId="41AC80BF" w:rsidR="00DD7614" w:rsidRPr="00356267" w:rsidRDefault="00165125" w:rsidP="00DD7614">
      <w:pPr>
        <w:rPr>
          <w:rFonts w:cstheme="minorHAnsi"/>
          <w:b/>
          <w:iCs/>
        </w:rPr>
      </w:pPr>
      <w:r>
        <w:rPr>
          <w:rFonts w:cstheme="minorHAnsi"/>
          <w:b/>
          <w:iCs/>
        </w:rPr>
        <w:t>7</w:t>
      </w:r>
      <w:r w:rsidR="00DD7614" w:rsidRPr="00356267">
        <w:rPr>
          <w:rFonts w:cstheme="minorHAnsi"/>
          <w:b/>
          <w:iCs/>
        </w:rPr>
        <w:t xml:space="preserve">.1 </w:t>
      </w:r>
      <w:r w:rsidR="00FE0BE4" w:rsidRPr="008C10E6">
        <w:rPr>
          <w:b/>
          <w:bCs/>
        </w:rPr>
        <w:t xml:space="preserve">– </w:t>
      </w:r>
      <w:r w:rsidR="00DD7614" w:rsidRPr="00356267">
        <w:rPr>
          <w:rFonts w:cstheme="minorHAnsi"/>
          <w:b/>
          <w:iCs/>
        </w:rPr>
        <w:t>Elimination des candidats</w:t>
      </w:r>
    </w:p>
    <w:p w14:paraId="4B750A3B" w14:textId="77777777" w:rsidR="00DD7614" w:rsidRPr="00356267" w:rsidRDefault="00DD7614" w:rsidP="00DD7614">
      <w:pPr>
        <w:pStyle w:val="Corpsdetexte"/>
        <w:rPr>
          <w:rFonts w:asciiTheme="minorHAnsi" w:hAnsiTheme="minorHAnsi" w:cstheme="minorHAnsi"/>
          <w:sz w:val="22"/>
          <w:szCs w:val="22"/>
        </w:rPr>
      </w:pPr>
      <w:r w:rsidRPr="00356267">
        <w:rPr>
          <w:rFonts w:asciiTheme="minorHAnsi" w:hAnsiTheme="minorHAnsi" w:cstheme="minorHAnsi"/>
          <w:sz w:val="22"/>
          <w:szCs w:val="22"/>
        </w:rPr>
        <w:t>Lors de l’ouverture des offres, le critère d’élimination sera le suivant :</w:t>
      </w:r>
    </w:p>
    <w:p w14:paraId="58C69842" w14:textId="77777777" w:rsidR="00C84EE9" w:rsidRDefault="00C84EE9" w:rsidP="00C84EE9">
      <w:pPr>
        <w:spacing w:after="0" w:line="240" w:lineRule="auto"/>
        <w:rPr>
          <w:rFonts w:cstheme="minorHAnsi"/>
        </w:rPr>
      </w:pPr>
    </w:p>
    <w:p w14:paraId="49AD5D45" w14:textId="666BC3FF" w:rsidR="00DD7614" w:rsidRPr="00356267" w:rsidRDefault="00DD7614" w:rsidP="00C84EE9">
      <w:pPr>
        <w:spacing w:after="0" w:line="240" w:lineRule="auto"/>
        <w:rPr>
          <w:rFonts w:cstheme="minorHAnsi"/>
        </w:rPr>
      </w:pPr>
      <w:r w:rsidRPr="00356267">
        <w:rPr>
          <w:rFonts w:cstheme="minorHAnsi"/>
        </w:rPr>
        <w:t>- La non</w:t>
      </w:r>
      <w:r w:rsidR="00356267">
        <w:rPr>
          <w:rFonts w:cstheme="minorHAnsi"/>
        </w:rPr>
        <w:t>-</w:t>
      </w:r>
      <w:r w:rsidRPr="00356267">
        <w:rPr>
          <w:rFonts w:cstheme="minorHAnsi"/>
        </w:rPr>
        <w:t xml:space="preserve">production des documents prévus à l’article </w:t>
      </w:r>
      <w:r w:rsidR="00234735">
        <w:rPr>
          <w:rFonts w:cstheme="minorHAnsi"/>
        </w:rPr>
        <w:t>6</w:t>
      </w:r>
      <w:r w:rsidRPr="00356267">
        <w:rPr>
          <w:rFonts w:cstheme="minorHAnsi"/>
        </w:rPr>
        <w:t>.2 ci-dessus.</w:t>
      </w:r>
    </w:p>
    <w:p w14:paraId="1AE007D8" w14:textId="77777777" w:rsidR="00DD7614" w:rsidRPr="00356267" w:rsidRDefault="00DD7614" w:rsidP="00C84EE9">
      <w:pPr>
        <w:spacing w:after="0" w:line="240" w:lineRule="auto"/>
        <w:rPr>
          <w:rFonts w:cstheme="minorHAnsi"/>
        </w:rPr>
      </w:pPr>
    </w:p>
    <w:p w14:paraId="6670FBB1" w14:textId="09EDB030" w:rsidR="00DD7614" w:rsidRPr="00356267" w:rsidRDefault="00165125" w:rsidP="00C84EE9">
      <w:pPr>
        <w:spacing w:after="0" w:line="240" w:lineRule="auto"/>
        <w:rPr>
          <w:rFonts w:cstheme="minorHAnsi"/>
          <w:b/>
          <w:iCs/>
        </w:rPr>
      </w:pPr>
      <w:r>
        <w:rPr>
          <w:rFonts w:cstheme="minorHAnsi"/>
          <w:b/>
          <w:iCs/>
        </w:rPr>
        <w:t>7</w:t>
      </w:r>
      <w:r w:rsidR="00DD7614" w:rsidRPr="001925D4">
        <w:rPr>
          <w:rFonts w:cstheme="minorHAnsi"/>
          <w:b/>
          <w:iCs/>
        </w:rPr>
        <w:t xml:space="preserve">.2 </w:t>
      </w:r>
      <w:r w:rsidR="00FE0BE4" w:rsidRPr="008C10E6">
        <w:rPr>
          <w:b/>
          <w:bCs/>
        </w:rPr>
        <w:t xml:space="preserve">– </w:t>
      </w:r>
      <w:r w:rsidR="00DD7614" w:rsidRPr="001925D4">
        <w:rPr>
          <w:rFonts w:cstheme="minorHAnsi"/>
          <w:b/>
          <w:iCs/>
        </w:rPr>
        <w:t>Critères de jugement</w:t>
      </w:r>
    </w:p>
    <w:p w14:paraId="1774A2D9" w14:textId="77777777" w:rsidR="00DD7614" w:rsidRPr="00356267" w:rsidRDefault="00DD7614" w:rsidP="00C84EE9">
      <w:pPr>
        <w:pStyle w:val="Corpsdetexte"/>
        <w:rPr>
          <w:rFonts w:asciiTheme="minorHAnsi" w:hAnsiTheme="minorHAnsi" w:cstheme="minorHAnsi"/>
          <w:sz w:val="22"/>
          <w:szCs w:val="22"/>
        </w:rPr>
      </w:pPr>
    </w:p>
    <w:p w14:paraId="672E72B1" w14:textId="77777777" w:rsidR="00FE7668" w:rsidRDefault="00FE7668" w:rsidP="00FE7668">
      <w:pPr>
        <w:autoSpaceDE w:val="0"/>
        <w:autoSpaceDN w:val="0"/>
        <w:adjustRightInd w:val="0"/>
        <w:spacing w:after="0" w:line="240" w:lineRule="auto"/>
        <w:jc w:val="both"/>
        <w:rPr>
          <w:rFonts w:ascii="Calibri" w:hAnsi="Calibri" w:cs="Calibri"/>
          <w:color w:val="000000"/>
        </w:rPr>
      </w:pPr>
      <w:r>
        <w:rPr>
          <w:rFonts w:ascii="Calibri" w:hAnsi="Calibri" w:cs="Calibri"/>
          <w:color w:val="000000"/>
        </w:rPr>
        <w:t>Le jugement des offres sera effectué dans des conditions analogues à celles prévues au Code de la Commande Publique.</w:t>
      </w:r>
    </w:p>
    <w:p w14:paraId="7BF2CF88" w14:textId="77777777" w:rsidR="00FE7668" w:rsidRDefault="00FE7668" w:rsidP="00FE7668">
      <w:pPr>
        <w:autoSpaceDE w:val="0"/>
        <w:autoSpaceDN w:val="0"/>
        <w:adjustRightInd w:val="0"/>
        <w:spacing w:after="0" w:line="240" w:lineRule="auto"/>
        <w:jc w:val="both"/>
        <w:rPr>
          <w:rFonts w:ascii="Calibri" w:hAnsi="Calibri" w:cs="Calibri"/>
          <w:color w:val="000000"/>
        </w:rPr>
      </w:pPr>
      <w:r>
        <w:rPr>
          <w:rFonts w:ascii="Calibri" w:hAnsi="Calibri" w:cs="Calibri"/>
          <w:color w:val="000000"/>
        </w:rPr>
        <w:t>La personne publique choisit l’offre qu’elle juge économiquement la plus avantageuse selon les critères de jugement suivants :</w:t>
      </w:r>
    </w:p>
    <w:p w14:paraId="18394D63" w14:textId="77777777" w:rsidR="00DD7614" w:rsidRDefault="00DD7614" w:rsidP="00C84EE9">
      <w:pPr>
        <w:spacing w:after="0" w:line="240" w:lineRule="auto"/>
        <w:rPr>
          <w:rFonts w:cstheme="minorHAnsi"/>
        </w:rPr>
      </w:pPr>
    </w:p>
    <w:p w14:paraId="4B2428D6" w14:textId="77777777" w:rsidR="001C1C3E" w:rsidRPr="00356267" w:rsidRDefault="001C1C3E" w:rsidP="00C84EE9">
      <w:pPr>
        <w:spacing w:after="0" w:line="240" w:lineRule="auto"/>
        <w:rPr>
          <w:rFonts w:cstheme="minorHAnsi"/>
        </w:rPr>
      </w:pPr>
    </w:p>
    <w:p w14:paraId="695A8CA1" w14:textId="1B4C6673" w:rsidR="00DD7614" w:rsidRPr="00BF15EA" w:rsidRDefault="00DD7614" w:rsidP="00C84EE9">
      <w:pPr>
        <w:tabs>
          <w:tab w:val="right" w:pos="7797"/>
        </w:tabs>
        <w:spacing w:after="0" w:line="240" w:lineRule="auto"/>
        <w:rPr>
          <w:rFonts w:cstheme="minorHAnsi"/>
        </w:rPr>
      </w:pPr>
      <w:r w:rsidRPr="005E6881">
        <w:rPr>
          <w:rFonts w:cstheme="minorHAnsi"/>
        </w:rPr>
        <w:t xml:space="preserve">- </w:t>
      </w:r>
      <w:r w:rsidRPr="00BF15EA">
        <w:rPr>
          <w:rFonts w:cstheme="minorHAnsi"/>
        </w:rPr>
        <w:t>Valeur technique des prestations</w:t>
      </w:r>
      <w:r w:rsidRPr="00BF15EA">
        <w:rPr>
          <w:rFonts w:cstheme="minorHAnsi"/>
        </w:rPr>
        <w:tab/>
      </w:r>
      <w:r w:rsidR="00BF15EA" w:rsidRPr="00BF15EA">
        <w:rPr>
          <w:rFonts w:cstheme="minorHAnsi"/>
        </w:rPr>
        <w:t>40</w:t>
      </w:r>
      <w:r w:rsidR="00FE7668" w:rsidRPr="00BF15EA">
        <w:rPr>
          <w:rFonts w:cstheme="minorHAnsi"/>
        </w:rPr>
        <w:t xml:space="preserve"> points</w:t>
      </w:r>
    </w:p>
    <w:p w14:paraId="469B73D9" w14:textId="19274A9B" w:rsidR="005E6881" w:rsidRPr="00BF15EA" w:rsidRDefault="00DD7614" w:rsidP="005E6881">
      <w:pPr>
        <w:tabs>
          <w:tab w:val="right" w:pos="7797"/>
        </w:tabs>
        <w:spacing w:after="0" w:line="240" w:lineRule="auto"/>
        <w:rPr>
          <w:rFonts w:cstheme="minorHAnsi"/>
        </w:rPr>
      </w:pPr>
      <w:r w:rsidRPr="00BF15EA">
        <w:rPr>
          <w:rFonts w:cstheme="minorHAnsi"/>
        </w:rPr>
        <w:t>- Prix des prestations</w:t>
      </w:r>
      <w:r w:rsidRPr="00BF15EA">
        <w:rPr>
          <w:rFonts w:cstheme="minorHAnsi"/>
        </w:rPr>
        <w:tab/>
      </w:r>
      <w:r w:rsidR="00BF15EA" w:rsidRPr="00BF15EA">
        <w:rPr>
          <w:rFonts w:cstheme="minorHAnsi"/>
        </w:rPr>
        <w:t>40</w:t>
      </w:r>
      <w:r w:rsidR="00FE7668" w:rsidRPr="00BF15EA">
        <w:rPr>
          <w:rFonts w:cstheme="minorHAnsi"/>
        </w:rPr>
        <w:t xml:space="preserve"> points</w:t>
      </w:r>
    </w:p>
    <w:p w14:paraId="3E2EF9AB" w14:textId="0A5B8738" w:rsidR="005E6881" w:rsidRPr="00BF15EA" w:rsidRDefault="005E6881" w:rsidP="005E6881">
      <w:pPr>
        <w:tabs>
          <w:tab w:val="right" w:pos="7797"/>
        </w:tabs>
        <w:spacing w:after="0" w:line="240" w:lineRule="auto"/>
        <w:rPr>
          <w:rFonts w:cstheme="minorHAnsi"/>
        </w:rPr>
      </w:pPr>
      <w:r w:rsidRPr="00BF15EA">
        <w:rPr>
          <w:rFonts w:cstheme="minorHAnsi"/>
        </w:rPr>
        <w:t xml:space="preserve">- </w:t>
      </w:r>
      <w:r w:rsidRPr="00BF15EA">
        <w:rPr>
          <w:rFonts w:ascii="Calibri" w:hAnsi="Calibri" w:cs="Calibri"/>
        </w:rPr>
        <w:t xml:space="preserve">Démarche environnementale </w:t>
      </w:r>
      <w:r w:rsidRPr="00BF15EA">
        <w:rPr>
          <w:rFonts w:ascii="Calibri" w:hAnsi="Calibri" w:cs="Calibri"/>
        </w:rPr>
        <w:tab/>
      </w:r>
      <w:r w:rsidR="00BF15EA" w:rsidRPr="00BF15EA">
        <w:rPr>
          <w:rFonts w:ascii="Calibri" w:hAnsi="Calibri" w:cs="Calibri"/>
        </w:rPr>
        <w:t>20</w:t>
      </w:r>
      <w:r w:rsidRPr="00BF15EA">
        <w:rPr>
          <w:rFonts w:ascii="Calibri" w:hAnsi="Calibri" w:cs="Calibri"/>
        </w:rPr>
        <w:t xml:space="preserve"> points</w:t>
      </w:r>
    </w:p>
    <w:p w14:paraId="5DF82D0F" w14:textId="77777777" w:rsidR="005E6881" w:rsidRPr="00BF15EA" w:rsidRDefault="005E6881" w:rsidP="00C84EE9">
      <w:pPr>
        <w:tabs>
          <w:tab w:val="right" w:pos="7797"/>
        </w:tabs>
        <w:spacing w:after="0" w:line="240" w:lineRule="auto"/>
        <w:rPr>
          <w:rFonts w:cstheme="minorHAnsi"/>
        </w:rPr>
      </w:pPr>
    </w:p>
    <w:p w14:paraId="7FBC472E" w14:textId="436EF6DB" w:rsidR="00C84EE9" w:rsidRDefault="00C84EE9" w:rsidP="006B2ACA">
      <w:pPr>
        <w:spacing w:after="0" w:line="240" w:lineRule="auto"/>
        <w:rPr>
          <w:b/>
          <w:bCs/>
          <w:highlight w:val="lightGray"/>
          <w:u w:val="single"/>
        </w:rPr>
      </w:pPr>
    </w:p>
    <w:p w14:paraId="03F5E0D0" w14:textId="7D7D3368" w:rsidR="00773624" w:rsidRPr="00C04A07" w:rsidRDefault="00773624" w:rsidP="00C04A07">
      <w:pPr>
        <w:spacing w:after="0" w:line="240" w:lineRule="auto"/>
        <w:jc w:val="both"/>
        <w:rPr>
          <w:b/>
          <w:bCs/>
          <w:u w:val="single"/>
        </w:rPr>
      </w:pPr>
      <w:r w:rsidRPr="006614E9">
        <w:rPr>
          <w:b/>
          <w:bCs/>
          <w:u w:val="single"/>
        </w:rPr>
        <w:t xml:space="preserve">Article </w:t>
      </w:r>
      <w:r w:rsidR="00165125">
        <w:rPr>
          <w:b/>
          <w:bCs/>
          <w:u w:val="single"/>
        </w:rPr>
        <w:t>8</w:t>
      </w:r>
      <w:r w:rsidRPr="006614E9">
        <w:rPr>
          <w:b/>
          <w:bCs/>
          <w:u w:val="single"/>
        </w:rPr>
        <w:t xml:space="preserve"> </w:t>
      </w:r>
      <w:r w:rsidR="00FE0BE4" w:rsidRPr="006614E9">
        <w:rPr>
          <w:b/>
          <w:bCs/>
          <w:u w:val="single"/>
        </w:rPr>
        <w:t>–</w:t>
      </w:r>
      <w:r w:rsidRPr="006614E9">
        <w:rPr>
          <w:b/>
          <w:bCs/>
          <w:u w:val="single"/>
        </w:rPr>
        <w:t xml:space="preserve"> Conditions de remise des offres</w:t>
      </w:r>
      <w:r w:rsidRPr="00C04A07">
        <w:rPr>
          <w:b/>
          <w:bCs/>
          <w:u w:val="single"/>
        </w:rPr>
        <w:t xml:space="preserve"> </w:t>
      </w:r>
    </w:p>
    <w:p w14:paraId="48265D03" w14:textId="77777777" w:rsidR="009676A5" w:rsidRPr="00C04A07" w:rsidRDefault="009676A5" w:rsidP="00C04A07">
      <w:pPr>
        <w:spacing w:after="0" w:line="240" w:lineRule="auto"/>
        <w:jc w:val="both"/>
        <w:rPr>
          <w:b/>
          <w:bCs/>
          <w:u w:val="single"/>
        </w:rPr>
      </w:pPr>
    </w:p>
    <w:p w14:paraId="0ABE4197" w14:textId="358FC254" w:rsidR="00773624" w:rsidRPr="00C04A07" w:rsidRDefault="00165125" w:rsidP="00C04A07">
      <w:pPr>
        <w:spacing w:after="0" w:line="240" w:lineRule="auto"/>
        <w:jc w:val="both"/>
        <w:rPr>
          <w:b/>
          <w:bCs/>
        </w:rPr>
      </w:pPr>
      <w:r>
        <w:rPr>
          <w:b/>
          <w:bCs/>
        </w:rPr>
        <w:t>8</w:t>
      </w:r>
      <w:r w:rsidR="00773624" w:rsidRPr="00C04A07">
        <w:rPr>
          <w:b/>
          <w:bCs/>
        </w:rPr>
        <w:t xml:space="preserve">.1 </w:t>
      </w:r>
      <w:r w:rsidR="00FE0BE4" w:rsidRPr="008C10E6">
        <w:rPr>
          <w:b/>
          <w:bCs/>
        </w:rPr>
        <w:t xml:space="preserve">– </w:t>
      </w:r>
      <w:r w:rsidR="00773624" w:rsidRPr="00C04A07">
        <w:rPr>
          <w:b/>
          <w:bCs/>
        </w:rPr>
        <w:t xml:space="preserve">Contenu des offres </w:t>
      </w:r>
    </w:p>
    <w:p w14:paraId="3FE6EFE8" w14:textId="77777777" w:rsidR="00773624" w:rsidRPr="00C04A07" w:rsidRDefault="00773624" w:rsidP="00C04A07">
      <w:pPr>
        <w:spacing w:after="0" w:line="240" w:lineRule="auto"/>
        <w:jc w:val="both"/>
      </w:pPr>
      <w:r w:rsidRPr="00C04A07">
        <w:t xml:space="preserve"> </w:t>
      </w:r>
    </w:p>
    <w:p w14:paraId="198E7E03" w14:textId="77777777" w:rsidR="00773624" w:rsidRPr="00C04A07" w:rsidRDefault="00773624" w:rsidP="00C04A07">
      <w:pPr>
        <w:spacing w:after="0" w:line="240" w:lineRule="auto"/>
        <w:jc w:val="both"/>
      </w:pPr>
      <w:r w:rsidRPr="00C04A07">
        <w:t xml:space="preserve">Les propositions seront obligatoirement rédigées en langue française et exprimées en euros. </w:t>
      </w:r>
    </w:p>
    <w:p w14:paraId="0A84EDB1" w14:textId="40E40E07" w:rsidR="00773624" w:rsidRDefault="00773624" w:rsidP="00C04A07">
      <w:pPr>
        <w:spacing w:after="0" w:line="240" w:lineRule="auto"/>
        <w:jc w:val="both"/>
      </w:pPr>
    </w:p>
    <w:p w14:paraId="70A8323E" w14:textId="50ECFF5D" w:rsidR="0074594E" w:rsidRDefault="0074594E" w:rsidP="00C04A07">
      <w:pPr>
        <w:spacing w:after="0" w:line="240" w:lineRule="auto"/>
        <w:jc w:val="both"/>
      </w:pPr>
      <w:r>
        <w:t>Un dossier de candidature devra être produit par lot.</w:t>
      </w:r>
    </w:p>
    <w:p w14:paraId="34DE5BD4" w14:textId="2787DFAB" w:rsidR="0074594E" w:rsidRDefault="0074594E" w:rsidP="00C04A07">
      <w:pPr>
        <w:spacing w:after="0" w:line="240" w:lineRule="auto"/>
        <w:jc w:val="both"/>
      </w:pPr>
    </w:p>
    <w:p w14:paraId="651FE151" w14:textId="0647D457" w:rsidR="0074594E" w:rsidRDefault="0074594E" w:rsidP="00C04A07">
      <w:pPr>
        <w:spacing w:after="0" w:line="240" w:lineRule="auto"/>
        <w:jc w:val="both"/>
      </w:pPr>
      <w:r>
        <w:t xml:space="preserve">Justificatifs à produire afin d’apprécier les capacités professionnelles, techniques et financières du candidat. </w:t>
      </w:r>
    </w:p>
    <w:p w14:paraId="1414E8EA" w14:textId="77777777" w:rsidR="00E972C7" w:rsidRDefault="00E972C7" w:rsidP="00C04A07">
      <w:pPr>
        <w:spacing w:after="0" w:line="240" w:lineRule="auto"/>
        <w:jc w:val="both"/>
      </w:pPr>
    </w:p>
    <w:p w14:paraId="68414A36" w14:textId="35291356" w:rsidR="0074594E" w:rsidRDefault="0074594E" w:rsidP="00C04A07">
      <w:pPr>
        <w:spacing w:after="0" w:line="240" w:lineRule="auto"/>
        <w:jc w:val="both"/>
      </w:pPr>
      <w:r>
        <w:t xml:space="preserve">Chaque candidat ou chaque membre du groupement candidat devra produire les pièces suivantes : </w:t>
      </w:r>
    </w:p>
    <w:p w14:paraId="03768307" w14:textId="77777777" w:rsidR="0074594E" w:rsidRDefault="0074594E" w:rsidP="00C04A07">
      <w:pPr>
        <w:spacing w:after="0" w:line="240" w:lineRule="auto"/>
        <w:jc w:val="both"/>
      </w:pPr>
    </w:p>
    <w:p w14:paraId="6DF6E4FC" w14:textId="6234BD4D" w:rsidR="0074594E" w:rsidRDefault="0074594E" w:rsidP="0074594E">
      <w:pPr>
        <w:pStyle w:val="Paragraphedeliste"/>
        <w:numPr>
          <w:ilvl w:val="0"/>
          <w:numId w:val="7"/>
        </w:numPr>
        <w:spacing w:after="0" w:line="240" w:lineRule="auto"/>
        <w:jc w:val="both"/>
      </w:pPr>
      <w:r w:rsidRPr="001F0409">
        <w:rPr>
          <w:b/>
          <w:bCs/>
        </w:rPr>
        <w:t>La lettre de candidature</w:t>
      </w:r>
      <w:r>
        <w:t xml:space="preserve"> (formulaire DC1 ou équivalent) contenant notamment la déclaration sur l’honneur par le candidat certifiant qu’il n’entre dans aucun des cas mentionnés aux articles L. 2141-1 à L.  2141-11 du Code de la commande publique et notamment qu’il est en règle au regard des articles </w:t>
      </w:r>
      <w:r w:rsidR="001F0409">
        <w:t>L. 5212-1 à L. 5212.11 du code du travail concernant l’emploi des travailleurs handicapés (en cas de groupement d’entreprises, chaque membre du groupement devra fournir cette déclaration sur l’honneur).</w:t>
      </w:r>
    </w:p>
    <w:p w14:paraId="23B62AAE" w14:textId="77777777" w:rsidR="001F0409" w:rsidRDefault="001F0409" w:rsidP="001F0409">
      <w:pPr>
        <w:spacing w:after="0" w:line="240" w:lineRule="auto"/>
        <w:jc w:val="both"/>
      </w:pPr>
    </w:p>
    <w:p w14:paraId="2D5A8100" w14:textId="59EA3124" w:rsidR="001F0409" w:rsidRDefault="001F0409" w:rsidP="001F0409">
      <w:pPr>
        <w:pStyle w:val="Paragraphedeliste"/>
        <w:numPr>
          <w:ilvl w:val="0"/>
          <w:numId w:val="7"/>
        </w:numPr>
        <w:spacing w:after="0" w:line="240" w:lineRule="auto"/>
        <w:jc w:val="both"/>
      </w:pPr>
      <w:r w:rsidRPr="001F0409">
        <w:rPr>
          <w:b/>
          <w:bCs/>
        </w:rPr>
        <w:t>La déclaration du candidat</w:t>
      </w:r>
      <w:r>
        <w:t xml:space="preserve"> (formulaire DC2 ou tout autre document équivalent) lui permettant de justifier de son aptitude à exercer une activité professionnelle, de sa capacité économique et financière et de ses capacités techniques et professionnelles).</w:t>
      </w:r>
    </w:p>
    <w:p w14:paraId="47471AF0" w14:textId="2AEA1D76" w:rsidR="00773624" w:rsidRPr="005E6881" w:rsidRDefault="00773624" w:rsidP="00C04A07">
      <w:pPr>
        <w:spacing w:after="0" w:line="240" w:lineRule="auto"/>
        <w:jc w:val="both"/>
        <w:rPr>
          <w:highlight w:val="magenta"/>
        </w:rPr>
      </w:pPr>
    </w:p>
    <w:p w14:paraId="0DE14221" w14:textId="72790F88" w:rsidR="00773624" w:rsidRDefault="00773624" w:rsidP="00C04A07">
      <w:pPr>
        <w:spacing w:after="0" w:line="240" w:lineRule="auto"/>
        <w:jc w:val="both"/>
      </w:pPr>
      <w:r w:rsidRPr="001F0409">
        <w:lastRenderedPageBreak/>
        <w:t>Les candidats peuvent utiliser les DC1 et DC2 ou le DUME qui sont disponibles sur le site Internet : http://www.economie.gouv.fr/daj/formulaires-declaration-du-candidat?language=fr</w:t>
      </w:r>
      <w:r w:rsidRPr="00C04A07">
        <w:t xml:space="preserve"> </w:t>
      </w:r>
    </w:p>
    <w:p w14:paraId="538F6472" w14:textId="3F0D5D7A" w:rsidR="006B2ACA" w:rsidRDefault="006B2ACA" w:rsidP="00C04A07">
      <w:pPr>
        <w:spacing w:after="0" w:line="240" w:lineRule="auto"/>
        <w:jc w:val="both"/>
      </w:pPr>
    </w:p>
    <w:p w14:paraId="15B2B6C5" w14:textId="6BC5204E" w:rsidR="00773624" w:rsidRDefault="00773624" w:rsidP="00C04A07">
      <w:pPr>
        <w:spacing w:after="0" w:line="240" w:lineRule="auto"/>
        <w:jc w:val="both"/>
      </w:pPr>
    </w:p>
    <w:p w14:paraId="041A61B0" w14:textId="77777777" w:rsidR="00773624" w:rsidRPr="00C04A07" w:rsidRDefault="00773624" w:rsidP="00C04A07">
      <w:pPr>
        <w:spacing w:after="0" w:line="240" w:lineRule="auto"/>
        <w:jc w:val="both"/>
        <w:rPr>
          <w:b/>
          <w:bCs/>
          <w:i/>
          <w:iCs/>
        </w:rPr>
      </w:pPr>
      <w:r w:rsidRPr="00C04A07">
        <w:rPr>
          <w:b/>
          <w:bCs/>
          <w:i/>
          <w:iCs/>
        </w:rPr>
        <w:t xml:space="preserve">DISPOSITIONS IMPORTANTES : </w:t>
      </w:r>
    </w:p>
    <w:p w14:paraId="0322404F" w14:textId="77777777" w:rsidR="00773624" w:rsidRPr="00C04A07" w:rsidRDefault="00773624" w:rsidP="00C04A07">
      <w:pPr>
        <w:spacing w:after="0" w:line="240" w:lineRule="auto"/>
        <w:jc w:val="both"/>
      </w:pPr>
      <w:r w:rsidRPr="00C04A07">
        <w:t xml:space="preserve"> </w:t>
      </w:r>
    </w:p>
    <w:p w14:paraId="5409BFFC" w14:textId="5B484A59" w:rsidR="00773624" w:rsidRDefault="00773624" w:rsidP="00C04A07">
      <w:pPr>
        <w:spacing w:after="0" w:line="240" w:lineRule="auto"/>
        <w:jc w:val="both"/>
      </w:pPr>
      <w:r w:rsidRPr="00C04A07">
        <w:t xml:space="preserve">Si certaines pièces sont absentes ou incomplètes, les candidats concernés pourront éventuellement être invités à compléter leur dossier dans un délai maximum de 10 jours suivant la demande qui leur sera formulée (Article R2144-6 du code de la commande publique). </w:t>
      </w:r>
    </w:p>
    <w:p w14:paraId="7F592BDE" w14:textId="77777777" w:rsidR="00C04A07" w:rsidRPr="00C04A07" w:rsidRDefault="00C04A07" w:rsidP="00C04A07">
      <w:pPr>
        <w:spacing w:after="0" w:line="240" w:lineRule="auto"/>
        <w:jc w:val="both"/>
      </w:pPr>
    </w:p>
    <w:p w14:paraId="2EF25914" w14:textId="1AF4E74D" w:rsidR="00773624" w:rsidRDefault="00773624" w:rsidP="00C04A07">
      <w:pPr>
        <w:spacing w:after="0" w:line="240" w:lineRule="auto"/>
        <w:jc w:val="both"/>
      </w:pPr>
      <w:r w:rsidRPr="00C04A07">
        <w:t xml:space="preserve">Il est par ailleurs rappelé qu’une même personne ne peut représenter plus d’un candidat pour un même marché (Article R2142-4 du code de la commande publique). </w:t>
      </w:r>
    </w:p>
    <w:p w14:paraId="405A2DFE" w14:textId="77777777" w:rsidR="00C04A07" w:rsidRPr="00C04A07" w:rsidRDefault="00C04A07" w:rsidP="00C04A07">
      <w:pPr>
        <w:spacing w:after="0" w:line="240" w:lineRule="auto"/>
        <w:jc w:val="both"/>
      </w:pPr>
    </w:p>
    <w:p w14:paraId="79C90AAF" w14:textId="5EA34BE1" w:rsidR="00773624" w:rsidRDefault="00773624" w:rsidP="00C04A07">
      <w:pPr>
        <w:spacing w:after="0" w:line="240" w:lineRule="auto"/>
        <w:jc w:val="both"/>
      </w:pPr>
      <w:r w:rsidRPr="00C04A07">
        <w:t xml:space="preserve">De même, pour chacun des lots, une même personne ne peut présenter plusieurs offres en agissant à la fois en qualité de candidat individuel et de membre d’un ou plusieurs groupements ; ou en qualité de membre de plusieurs groupements (Article R2142-21 du code de la commande publique). </w:t>
      </w:r>
    </w:p>
    <w:p w14:paraId="39A2D214" w14:textId="77777777" w:rsidR="00C04A07" w:rsidRPr="00C04A07" w:rsidRDefault="00C04A07" w:rsidP="00C04A07">
      <w:pPr>
        <w:spacing w:after="0" w:line="240" w:lineRule="auto"/>
        <w:jc w:val="both"/>
      </w:pPr>
    </w:p>
    <w:p w14:paraId="4A4987FD" w14:textId="671EEB7A" w:rsidR="00773624" w:rsidRPr="00C04A07" w:rsidRDefault="00773624" w:rsidP="00C04A07">
      <w:pPr>
        <w:spacing w:after="0" w:line="240" w:lineRule="auto"/>
        <w:jc w:val="both"/>
      </w:pPr>
      <w:r w:rsidRPr="00C04A07">
        <w:t xml:space="preserve">D'autre part, l’offre comprendra pour chacun des lots auquel le candidat soumissionne : </w:t>
      </w:r>
    </w:p>
    <w:p w14:paraId="703C1B45" w14:textId="5B877084" w:rsidR="00D64450" w:rsidRPr="00C04A07" w:rsidRDefault="00FA00BA" w:rsidP="00C04A07">
      <w:pPr>
        <w:pStyle w:val="Paragraphedeliste"/>
        <w:numPr>
          <w:ilvl w:val="0"/>
          <w:numId w:val="2"/>
        </w:numPr>
        <w:spacing w:after="0" w:line="240" w:lineRule="auto"/>
        <w:jc w:val="both"/>
      </w:pPr>
      <w:r w:rsidRPr="00C04A07">
        <w:t>L’acte</w:t>
      </w:r>
      <w:r w:rsidR="00773624" w:rsidRPr="00C04A07">
        <w:t xml:space="preserve"> d'engagement, et s’il y a lieu d’une annexe précisant de façon exhaustive les réserves aux spécifications du </w:t>
      </w:r>
      <w:r w:rsidR="00C84EE9" w:rsidRPr="00C04A07">
        <w:t>cahier des charges</w:t>
      </w:r>
      <w:r w:rsidR="00773624" w:rsidRPr="00C04A07">
        <w:t>, détaillées sur un document annexe,</w:t>
      </w:r>
    </w:p>
    <w:p w14:paraId="1F6BA19E" w14:textId="3BC9E9B3" w:rsidR="00D64450" w:rsidRPr="00FA00BA" w:rsidRDefault="00FA00BA" w:rsidP="00C04A07">
      <w:pPr>
        <w:pStyle w:val="Paragraphedeliste"/>
        <w:numPr>
          <w:ilvl w:val="0"/>
          <w:numId w:val="2"/>
        </w:numPr>
        <w:spacing w:after="0" w:line="240" w:lineRule="auto"/>
        <w:jc w:val="both"/>
      </w:pPr>
      <w:r w:rsidRPr="00FA00BA">
        <w:t>Les</w:t>
      </w:r>
      <w:r w:rsidR="00773624" w:rsidRPr="00FA00BA">
        <w:t xml:space="preserve"> conditions générales et, s’il y a lieu, les conventions spéciales qui seront applicables au contrat objet du marché.</w:t>
      </w:r>
    </w:p>
    <w:p w14:paraId="167F86BB" w14:textId="013AB14B" w:rsidR="00D64450" w:rsidRPr="00FA00BA" w:rsidRDefault="00FA00BA" w:rsidP="00C04A07">
      <w:pPr>
        <w:pStyle w:val="Paragraphedeliste"/>
        <w:numPr>
          <w:ilvl w:val="0"/>
          <w:numId w:val="2"/>
        </w:numPr>
        <w:spacing w:after="0" w:line="240" w:lineRule="auto"/>
        <w:jc w:val="both"/>
      </w:pPr>
      <w:r w:rsidRPr="00FA00BA">
        <w:t>La note explicative.</w:t>
      </w:r>
    </w:p>
    <w:p w14:paraId="67524C5C" w14:textId="77777777" w:rsidR="00C04A07" w:rsidRPr="00C04A07" w:rsidRDefault="00C04A07" w:rsidP="00C04A07">
      <w:pPr>
        <w:spacing w:after="0" w:line="240" w:lineRule="auto"/>
        <w:jc w:val="both"/>
      </w:pPr>
    </w:p>
    <w:p w14:paraId="5CF5ECC6" w14:textId="77777777" w:rsidR="00773624" w:rsidRPr="00C04A07" w:rsidRDefault="00773624" w:rsidP="00C04A07">
      <w:pPr>
        <w:spacing w:after="0" w:line="240" w:lineRule="auto"/>
        <w:jc w:val="both"/>
      </w:pPr>
      <w:r w:rsidRPr="00C04A07">
        <w:t xml:space="preserve">Le candidat auquel il sera envisagé d’attribuer le marché devra produire en outre les pièces mentionnées des articles R2143-6 à R2143-10 du code de la commande publique, dans un délai maximum de 10 jours suivant la demande qui lui sera formulée, à savoir : </w:t>
      </w:r>
    </w:p>
    <w:p w14:paraId="61895480" w14:textId="77777777" w:rsidR="00773624" w:rsidRPr="00C04A07" w:rsidRDefault="00773624" w:rsidP="00C04A07">
      <w:pPr>
        <w:spacing w:after="0" w:line="240" w:lineRule="auto"/>
        <w:jc w:val="both"/>
      </w:pPr>
      <w:r w:rsidRPr="00C04A07">
        <w:t xml:space="preserve"> </w:t>
      </w:r>
    </w:p>
    <w:p w14:paraId="446DAA4A" w14:textId="77777777" w:rsidR="00D64450" w:rsidRPr="00C04A07" w:rsidRDefault="00773624" w:rsidP="00C04A07">
      <w:pPr>
        <w:pStyle w:val="Paragraphedeliste"/>
        <w:numPr>
          <w:ilvl w:val="0"/>
          <w:numId w:val="2"/>
        </w:numPr>
        <w:spacing w:after="0" w:line="240" w:lineRule="auto"/>
        <w:jc w:val="both"/>
      </w:pPr>
      <w:proofErr w:type="gramStart"/>
      <w:r w:rsidRPr="00C04A07">
        <w:t>les</w:t>
      </w:r>
      <w:proofErr w:type="gramEnd"/>
      <w:r w:rsidRPr="00C04A07">
        <w:t xml:space="preserve"> attestations et certificats délivrés par les administrations et organismes compétents prouvant qu’il a satisfait à ses obligations fiscales et sociales.</w:t>
      </w:r>
    </w:p>
    <w:p w14:paraId="4600660D" w14:textId="77777777" w:rsidR="00D64450" w:rsidRPr="00C04A07" w:rsidRDefault="00773624" w:rsidP="00C04A07">
      <w:pPr>
        <w:pStyle w:val="Paragraphedeliste"/>
        <w:numPr>
          <w:ilvl w:val="0"/>
          <w:numId w:val="2"/>
        </w:numPr>
        <w:spacing w:after="0" w:line="240" w:lineRule="auto"/>
        <w:jc w:val="both"/>
      </w:pPr>
      <w:proofErr w:type="gramStart"/>
      <w:r w:rsidRPr="00C04A07">
        <w:t>les</w:t>
      </w:r>
      <w:proofErr w:type="gramEnd"/>
      <w:r w:rsidRPr="00C04A07">
        <w:t xml:space="preserve"> pièces mentionnées aux articles R.1263-12, D.8222-5 ou D.8222-7 ou D.8254-2 à D.8254-5 du Code du Travail.</w:t>
      </w:r>
    </w:p>
    <w:p w14:paraId="7F13FB95" w14:textId="77777777" w:rsidR="00D64450" w:rsidRPr="00C04A07" w:rsidRDefault="00773624" w:rsidP="00C04A07">
      <w:pPr>
        <w:pStyle w:val="Paragraphedeliste"/>
        <w:numPr>
          <w:ilvl w:val="0"/>
          <w:numId w:val="2"/>
        </w:numPr>
        <w:spacing w:after="0" w:line="240" w:lineRule="auto"/>
        <w:jc w:val="both"/>
      </w:pPr>
      <w:proofErr w:type="gramStart"/>
      <w:r w:rsidRPr="00C04A07">
        <w:t>un</w:t>
      </w:r>
      <w:proofErr w:type="gramEnd"/>
      <w:r w:rsidRPr="00C04A07">
        <w:t xml:space="preserve"> extrait du registre pertinent (tel que K, K-bis, D1). </w:t>
      </w:r>
    </w:p>
    <w:p w14:paraId="6C7B93E8" w14:textId="4A8C2FD6" w:rsidR="00773624" w:rsidRPr="00C04A07" w:rsidRDefault="00773624" w:rsidP="00C04A07">
      <w:pPr>
        <w:pStyle w:val="Paragraphedeliste"/>
        <w:numPr>
          <w:ilvl w:val="0"/>
          <w:numId w:val="2"/>
        </w:numPr>
        <w:spacing w:after="0" w:line="240" w:lineRule="auto"/>
        <w:jc w:val="both"/>
      </w:pPr>
      <w:proofErr w:type="gramStart"/>
      <w:r w:rsidRPr="00C04A07">
        <w:t>si</w:t>
      </w:r>
      <w:proofErr w:type="gramEnd"/>
      <w:r w:rsidRPr="00C04A07">
        <w:t xml:space="preserve"> le soumissionnaire est en redressement judiciaire, la copie du ou des jugements prononcés à cet effet. </w:t>
      </w:r>
    </w:p>
    <w:p w14:paraId="5BE60A37" w14:textId="77777777" w:rsidR="00773624" w:rsidRPr="00C04A07" w:rsidRDefault="00773624" w:rsidP="00C04A07">
      <w:pPr>
        <w:spacing w:after="0" w:line="240" w:lineRule="auto"/>
        <w:jc w:val="both"/>
      </w:pPr>
      <w:r w:rsidRPr="00C04A07">
        <w:t xml:space="preserve"> </w:t>
      </w:r>
    </w:p>
    <w:p w14:paraId="2322BF37" w14:textId="552BC5F6" w:rsidR="00773624" w:rsidRDefault="00773624" w:rsidP="00C04A07">
      <w:pPr>
        <w:spacing w:after="0" w:line="240" w:lineRule="auto"/>
        <w:jc w:val="both"/>
      </w:pPr>
      <w:r w:rsidRPr="00C04A07">
        <w:t xml:space="preserve">nb : Les candidats ne sont pas tenus de fournir les documents justificatifs et moyens de preuve que l'acheteur peut obtenir directement par le biais d'un système électronique de mise à disposition d'informations administré par un organisme officiel ou d'un espace de stockage numérique, à condition que figurent dans le dossier de candidature toutes les informations nécessaires à la consultation de ce système ou de cet espace et que l'accès à ceux-ci soit gratuit (article R2143-13 du code de la commande publique).   </w:t>
      </w:r>
    </w:p>
    <w:p w14:paraId="0B56565F" w14:textId="3334FDFB" w:rsidR="00FE7668" w:rsidRDefault="00FE7668" w:rsidP="00C04A07">
      <w:pPr>
        <w:spacing w:after="0" w:line="240" w:lineRule="auto"/>
        <w:jc w:val="both"/>
      </w:pPr>
    </w:p>
    <w:p w14:paraId="2BF7872F" w14:textId="77777777" w:rsidR="001C1C3E" w:rsidRDefault="001C1C3E" w:rsidP="00C04A07">
      <w:pPr>
        <w:spacing w:after="0" w:line="240" w:lineRule="auto"/>
        <w:jc w:val="both"/>
      </w:pPr>
    </w:p>
    <w:p w14:paraId="0C5A46EE" w14:textId="0711F85A" w:rsidR="00FE7668" w:rsidRPr="00C04A07" w:rsidRDefault="00165125" w:rsidP="00FE7668">
      <w:pPr>
        <w:spacing w:after="0" w:line="240" w:lineRule="auto"/>
        <w:jc w:val="both"/>
        <w:rPr>
          <w:b/>
          <w:bCs/>
        </w:rPr>
      </w:pPr>
      <w:r>
        <w:rPr>
          <w:b/>
          <w:bCs/>
        </w:rPr>
        <w:t>8</w:t>
      </w:r>
      <w:r w:rsidR="00FE7668" w:rsidRPr="00C04A07">
        <w:rPr>
          <w:b/>
          <w:bCs/>
        </w:rPr>
        <w:t>.</w:t>
      </w:r>
      <w:r w:rsidR="00FE7668">
        <w:rPr>
          <w:b/>
          <w:bCs/>
        </w:rPr>
        <w:t>2</w:t>
      </w:r>
      <w:r w:rsidR="00FE7668" w:rsidRPr="00C04A07">
        <w:rPr>
          <w:b/>
          <w:bCs/>
        </w:rPr>
        <w:t xml:space="preserve"> </w:t>
      </w:r>
      <w:r w:rsidR="00FE7668" w:rsidRPr="008C10E6">
        <w:rPr>
          <w:b/>
          <w:bCs/>
        </w:rPr>
        <w:t xml:space="preserve">– </w:t>
      </w:r>
      <w:r w:rsidR="00FE7668">
        <w:rPr>
          <w:b/>
          <w:bCs/>
        </w:rPr>
        <w:t>Modalité de dépôt des</w:t>
      </w:r>
      <w:r w:rsidR="00FE7668" w:rsidRPr="00C04A07">
        <w:rPr>
          <w:b/>
          <w:bCs/>
        </w:rPr>
        <w:t xml:space="preserve"> offres </w:t>
      </w:r>
    </w:p>
    <w:p w14:paraId="130044C0" w14:textId="77777777" w:rsidR="00FE7668" w:rsidRDefault="00FE7668" w:rsidP="00C04A07">
      <w:pPr>
        <w:spacing w:after="0" w:line="240" w:lineRule="auto"/>
        <w:jc w:val="both"/>
      </w:pPr>
    </w:p>
    <w:p w14:paraId="59BAA7B2" w14:textId="31636504" w:rsidR="00FE7668" w:rsidRPr="00AF156B" w:rsidRDefault="00FE7668" w:rsidP="00FE7668">
      <w:pPr>
        <w:widowControl w:val="0"/>
        <w:suppressAutoHyphens/>
        <w:autoSpaceDE w:val="0"/>
        <w:spacing w:after="0" w:line="240" w:lineRule="auto"/>
        <w:jc w:val="both"/>
        <w:rPr>
          <w:rFonts w:cs="Arial"/>
          <w:shd w:val="clear" w:color="auto" w:fill="FFFFFF"/>
        </w:rPr>
      </w:pPr>
      <w:r w:rsidRPr="000D2A71">
        <w:rPr>
          <w:rFonts w:eastAsia="Times New Roman" w:cs="Arial"/>
          <w:lang w:eastAsia="ar-SA"/>
        </w:rPr>
        <w:t xml:space="preserve">Les offres seront déposées de manière dématérialisée sur la plateforme </w:t>
      </w:r>
      <w:r w:rsidRPr="000D2A71">
        <w:rPr>
          <w:rFonts w:cs="Arial"/>
          <w:shd w:val="clear" w:color="auto" w:fill="FFFFFF"/>
        </w:rPr>
        <w:t> </w:t>
      </w:r>
      <w:hyperlink r:id="rId14" w:tgtFrame="_blank" w:history="1">
        <w:r w:rsidRPr="000D2A71">
          <w:rPr>
            <w:rFonts w:cs="Arial"/>
            <w:u w:val="single"/>
            <w:shd w:val="clear" w:color="auto" w:fill="FFFFFF"/>
          </w:rPr>
          <w:t>https://demat-ampa.fr</w:t>
        </w:r>
      </w:hyperlink>
      <w:r w:rsidRPr="000D2A71">
        <w:rPr>
          <w:rFonts w:cs="Arial"/>
          <w:shd w:val="clear" w:color="auto" w:fill="FFFFFF"/>
        </w:rPr>
        <w:t xml:space="preserve"> au plus </w:t>
      </w:r>
      <w:r w:rsidRPr="00AF156B">
        <w:rPr>
          <w:rFonts w:cs="Arial"/>
          <w:shd w:val="clear" w:color="auto" w:fill="FFFFFF"/>
        </w:rPr>
        <w:t xml:space="preserve">tard </w:t>
      </w:r>
      <w:r w:rsidRPr="00BF15EA">
        <w:rPr>
          <w:rFonts w:cs="Arial"/>
          <w:bCs/>
          <w:shd w:val="clear" w:color="auto" w:fill="FFFFFF"/>
        </w:rPr>
        <w:t>le</w:t>
      </w:r>
      <w:r w:rsidRPr="00BF15EA">
        <w:rPr>
          <w:rFonts w:cs="Arial"/>
          <w:b/>
          <w:shd w:val="clear" w:color="auto" w:fill="FFFFFF"/>
        </w:rPr>
        <w:t xml:space="preserve"> </w:t>
      </w:r>
      <w:r w:rsidR="00BF15EA" w:rsidRPr="00BF15EA">
        <w:rPr>
          <w:rFonts w:cs="Arial"/>
          <w:b/>
          <w:shd w:val="clear" w:color="auto" w:fill="FFFFFF"/>
        </w:rPr>
        <w:t>vendredi 31</w:t>
      </w:r>
      <w:r w:rsidRPr="00BF15EA">
        <w:rPr>
          <w:rFonts w:cs="Arial"/>
          <w:b/>
          <w:shd w:val="clear" w:color="auto" w:fill="FFFFFF"/>
        </w:rPr>
        <w:t xml:space="preserve"> octobre 202</w:t>
      </w:r>
      <w:r w:rsidR="002D2565" w:rsidRPr="00BF15EA">
        <w:rPr>
          <w:rFonts w:cs="Arial"/>
          <w:b/>
          <w:shd w:val="clear" w:color="auto" w:fill="FFFFFF"/>
        </w:rPr>
        <w:t>5</w:t>
      </w:r>
      <w:r w:rsidRPr="00BF15EA">
        <w:rPr>
          <w:rFonts w:cs="Arial"/>
          <w:b/>
          <w:shd w:val="clear" w:color="auto" w:fill="FFFFFF"/>
        </w:rPr>
        <w:t xml:space="preserve"> à 12h</w:t>
      </w:r>
      <w:r w:rsidRPr="00BF15EA">
        <w:rPr>
          <w:rFonts w:cs="Arial"/>
          <w:shd w:val="clear" w:color="auto" w:fill="FFFFFF"/>
        </w:rPr>
        <w:t xml:space="preserve">. La </w:t>
      </w:r>
      <w:r w:rsidRPr="00AF156B">
        <w:rPr>
          <w:rFonts w:cs="Arial"/>
          <w:shd w:val="clear" w:color="auto" w:fill="FFFFFF"/>
        </w:rPr>
        <w:t>signature électronique n’est pas obligatoire.</w:t>
      </w:r>
    </w:p>
    <w:p w14:paraId="68C0480E" w14:textId="77777777" w:rsidR="00FE7668" w:rsidRPr="00AF156B" w:rsidRDefault="00FE7668" w:rsidP="00FE7668">
      <w:pPr>
        <w:widowControl w:val="0"/>
        <w:suppressAutoHyphens/>
        <w:autoSpaceDE w:val="0"/>
        <w:spacing w:after="0" w:line="240" w:lineRule="auto"/>
        <w:jc w:val="both"/>
        <w:rPr>
          <w:rFonts w:eastAsia="Times New Roman" w:cs="Arial"/>
          <w:lang w:eastAsia="ar-SA"/>
        </w:rPr>
      </w:pPr>
    </w:p>
    <w:p w14:paraId="33992C9C" w14:textId="77777777" w:rsidR="00FE7668" w:rsidRPr="000D2A71" w:rsidRDefault="00FE7668" w:rsidP="00FE7668">
      <w:pPr>
        <w:jc w:val="both"/>
        <w:rPr>
          <w:rFonts w:cs="Arial"/>
          <w:lang w:eastAsia="fr-FR"/>
        </w:rPr>
      </w:pPr>
      <w:r w:rsidRPr="000D2A71">
        <w:rPr>
          <w:rFonts w:cs="Arial"/>
          <w:lang w:eastAsia="fr-FR"/>
        </w:rPr>
        <w:lastRenderedPageBreak/>
        <w:t>Pour toute demande d'assistance technique, vous pouvez utiliser l'assistance en ligne ou le support téléphonique joignable au </w:t>
      </w:r>
      <w:r w:rsidRPr="000D2A71">
        <w:rPr>
          <w:rFonts w:cs="Arial"/>
          <w:b/>
          <w:bCs/>
          <w:lang w:eastAsia="fr-FR"/>
        </w:rPr>
        <w:t>01 76 64 74 03.</w:t>
      </w:r>
    </w:p>
    <w:p w14:paraId="16512940" w14:textId="77777777" w:rsidR="00FE7668" w:rsidRPr="000D2A71" w:rsidRDefault="00FE7668" w:rsidP="00FE7668">
      <w:pPr>
        <w:widowControl w:val="0"/>
        <w:suppressAutoHyphens/>
        <w:autoSpaceDE w:val="0"/>
        <w:spacing w:after="0" w:line="240" w:lineRule="auto"/>
        <w:jc w:val="both"/>
        <w:rPr>
          <w:rFonts w:eastAsia="Times New Roman" w:cs="Arial"/>
          <w:lang w:eastAsia="ar-SA"/>
        </w:rPr>
      </w:pPr>
      <w:r w:rsidRPr="000D2A71">
        <w:rPr>
          <w:rFonts w:eastAsia="Times New Roman" w:cs="Arial"/>
          <w:lang w:eastAsia="ar-SA"/>
        </w:rPr>
        <w:t>Les dossiers qui seraient remis ou dont l'avis de réception serait délivré après la date et l'heure limites visées ci-dessus ne seront pas retenus.</w:t>
      </w:r>
    </w:p>
    <w:p w14:paraId="16B195B6" w14:textId="77777777" w:rsidR="00FE7668" w:rsidRDefault="00FE7668" w:rsidP="00C04A07">
      <w:pPr>
        <w:spacing w:after="0" w:line="240" w:lineRule="auto"/>
        <w:jc w:val="both"/>
      </w:pPr>
    </w:p>
    <w:p w14:paraId="5865AFBA" w14:textId="2FCAF315" w:rsidR="00773624" w:rsidRPr="00C04A07" w:rsidRDefault="00773624" w:rsidP="00773624">
      <w:pPr>
        <w:rPr>
          <w:b/>
          <w:bCs/>
          <w:u w:val="single"/>
        </w:rPr>
      </w:pPr>
      <w:r w:rsidRPr="00C04A07">
        <w:rPr>
          <w:b/>
          <w:bCs/>
          <w:u w:val="single"/>
        </w:rPr>
        <w:t xml:space="preserve">Article </w:t>
      </w:r>
      <w:r w:rsidR="00165125">
        <w:rPr>
          <w:b/>
          <w:bCs/>
          <w:u w:val="single"/>
        </w:rPr>
        <w:t>9</w:t>
      </w:r>
      <w:r w:rsidRPr="00C04A07">
        <w:rPr>
          <w:b/>
          <w:bCs/>
          <w:u w:val="single"/>
        </w:rPr>
        <w:t xml:space="preserve"> </w:t>
      </w:r>
      <w:r w:rsidR="00FE0BE4">
        <w:rPr>
          <w:b/>
          <w:bCs/>
          <w:u w:val="single"/>
        </w:rPr>
        <w:t>–</w:t>
      </w:r>
      <w:r w:rsidRPr="00C04A07">
        <w:rPr>
          <w:b/>
          <w:bCs/>
          <w:u w:val="single"/>
        </w:rPr>
        <w:t xml:space="preserve"> Renseignements complémentaires / communications et échanges d’informations </w:t>
      </w:r>
    </w:p>
    <w:p w14:paraId="7527A149" w14:textId="24ED0FF6" w:rsidR="006B2ACA" w:rsidRDefault="00773624" w:rsidP="006B2ACA">
      <w:pPr>
        <w:jc w:val="both"/>
      </w:pPr>
      <w:r w:rsidRPr="006B2ACA">
        <w:t xml:space="preserve">Pour obtenir tous les renseignements complémentaires qui leur seraient nécessaires au cours de leur étude, les candidats devront faire parvenir avant le </w:t>
      </w:r>
      <w:r w:rsidR="00BF15EA" w:rsidRPr="00BF15EA">
        <w:t>24</w:t>
      </w:r>
      <w:r w:rsidR="00FE7668" w:rsidRPr="00BF15EA">
        <w:t xml:space="preserve"> octobre 202</w:t>
      </w:r>
      <w:r w:rsidR="002D2565" w:rsidRPr="00BF15EA">
        <w:t>5</w:t>
      </w:r>
      <w:r w:rsidRPr="00BF15EA">
        <w:t xml:space="preserve"> </w:t>
      </w:r>
      <w:r w:rsidR="006B2ACA" w:rsidRPr="005760AB">
        <w:t xml:space="preserve">sur la plateforme </w:t>
      </w:r>
      <w:r w:rsidR="006B2ACA" w:rsidRPr="006B2ACA">
        <w:t>de d</w:t>
      </w:r>
      <w:r w:rsidR="006B2ACA">
        <w:t>ém</w:t>
      </w:r>
      <w:r w:rsidR="006B2ACA" w:rsidRPr="006B2ACA">
        <w:t xml:space="preserve">atérialisation </w:t>
      </w:r>
      <w:r w:rsidRPr="006B2ACA">
        <w:t xml:space="preserve">: </w:t>
      </w:r>
      <w:hyperlink r:id="rId15" w:history="1">
        <w:r w:rsidR="006B2ACA" w:rsidRPr="003E6D25">
          <w:rPr>
            <w:rStyle w:val="Lienhypertexte"/>
          </w:rPr>
          <w:t>https://demat-ampa.fr</w:t>
        </w:r>
      </w:hyperlink>
    </w:p>
    <w:p w14:paraId="22A81E18" w14:textId="70C41EB6" w:rsidR="00C04A07" w:rsidRPr="006B2ACA" w:rsidRDefault="00773624" w:rsidP="006B2ACA">
      <w:pPr>
        <w:jc w:val="both"/>
      </w:pPr>
      <w:r w:rsidRPr="006B2ACA">
        <w:t xml:space="preserve"> </w:t>
      </w:r>
    </w:p>
    <w:p w14:paraId="37BF2512" w14:textId="0A70AD90" w:rsidR="00773624" w:rsidRPr="00C04A07" w:rsidRDefault="00773624" w:rsidP="006B2ACA">
      <w:pPr>
        <w:jc w:val="both"/>
        <w:rPr>
          <w:b/>
          <w:bCs/>
          <w:u w:val="single"/>
        </w:rPr>
      </w:pPr>
      <w:r w:rsidRPr="00C04A07">
        <w:rPr>
          <w:b/>
          <w:bCs/>
          <w:u w:val="single"/>
        </w:rPr>
        <w:t xml:space="preserve">Article </w:t>
      </w:r>
      <w:r w:rsidR="00165125">
        <w:rPr>
          <w:b/>
          <w:bCs/>
          <w:u w:val="single"/>
        </w:rPr>
        <w:t>10</w:t>
      </w:r>
      <w:r w:rsidRPr="00C04A07">
        <w:rPr>
          <w:b/>
          <w:bCs/>
          <w:u w:val="single"/>
        </w:rPr>
        <w:t xml:space="preserve"> – Information sur le Règlement Général sur la Protection des données Personnelles </w:t>
      </w:r>
    </w:p>
    <w:p w14:paraId="3DA07BE4" w14:textId="77777777" w:rsidR="00773624" w:rsidRDefault="00773624" w:rsidP="00C04A07">
      <w:pPr>
        <w:jc w:val="both"/>
      </w:pPr>
      <w:r w:rsidRPr="00C04A07">
        <w:t xml:space="preserve">Les candidats s’assurent du respect de la réglementation liée au traitement des données personnelles et s’engagent à fournir l’identité et les coordonnées de leur délégué à la protection des données personnelles. </w:t>
      </w:r>
    </w:p>
    <w:p w14:paraId="633B843E" w14:textId="535CC602" w:rsidR="00C04A07" w:rsidRPr="00D64450" w:rsidRDefault="00773624" w:rsidP="00773624">
      <w:pPr>
        <w:rPr>
          <w:highlight w:val="lightGray"/>
        </w:rPr>
      </w:pPr>
      <w:r w:rsidRPr="00D64450">
        <w:rPr>
          <w:highlight w:val="lightGray"/>
        </w:rPr>
        <w:t xml:space="preserve"> </w:t>
      </w:r>
    </w:p>
    <w:p w14:paraId="0A365AC5" w14:textId="057E92D9" w:rsidR="00773624" w:rsidRPr="00C04A07" w:rsidRDefault="00773624" w:rsidP="00773624">
      <w:pPr>
        <w:rPr>
          <w:b/>
          <w:bCs/>
          <w:u w:val="single"/>
        </w:rPr>
      </w:pPr>
      <w:r w:rsidRPr="00C04A07">
        <w:rPr>
          <w:b/>
          <w:bCs/>
          <w:u w:val="single"/>
        </w:rPr>
        <w:t>Article 1</w:t>
      </w:r>
      <w:r w:rsidR="00165125">
        <w:rPr>
          <w:b/>
          <w:bCs/>
          <w:u w:val="single"/>
        </w:rPr>
        <w:t>1</w:t>
      </w:r>
      <w:r w:rsidRPr="00C04A07">
        <w:rPr>
          <w:b/>
          <w:bCs/>
          <w:u w:val="single"/>
        </w:rPr>
        <w:t xml:space="preserve"> – Avance, nantissement et garantie financière </w:t>
      </w:r>
    </w:p>
    <w:p w14:paraId="0AEB204C" w14:textId="292525F3" w:rsidR="00773624" w:rsidRPr="00C04A07" w:rsidRDefault="00773624" w:rsidP="00773624">
      <w:r w:rsidRPr="00C04A07">
        <w:t xml:space="preserve">Sans objet au regard de l’objet du marché. </w:t>
      </w:r>
    </w:p>
    <w:p w14:paraId="11C99DE6" w14:textId="2D239AE1" w:rsidR="00773624" w:rsidRPr="00C04A07" w:rsidRDefault="00773624" w:rsidP="00773624">
      <w:r w:rsidRPr="00C04A07">
        <w:t xml:space="preserve">  </w:t>
      </w:r>
    </w:p>
    <w:p w14:paraId="6D5DB8DF" w14:textId="607C6852" w:rsidR="00773624" w:rsidRPr="00C04A07" w:rsidRDefault="00773624" w:rsidP="00773624">
      <w:pPr>
        <w:rPr>
          <w:b/>
          <w:bCs/>
          <w:u w:val="single"/>
        </w:rPr>
      </w:pPr>
      <w:r w:rsidRPr="00C04A07">
        <w:rPr>
          <w:b/>
          <w:bCs/>
          <w:u w:val="single"/>
        </w:rPr>
        <w:t>Article 1</w:t>
      </w:r>
      <w:r w:rsidR="00165125">
        <w:rPr>
          <w:b/>
          <w:bCs/>
          <w:u w:val="single"/>
        </w:rPr>
        <w:t>2</w:t>
      </w:r>
      <w:r w:rsidRPr="00C04A07">
        <w:rPr>
          <w:b/>
          <w:bCs/>
          <w:u w:val="single"/>
        </w:rPr>
        <w:t xml:space="preserve"> – </w:t>
      </w:r>
      <w:r w:rsidR="00F0168B" w:rsidRPr="00C04A07">
        <w:rPr>
          <w:b/>
          <w:bCs/>
          <w:u w:val="single"/>
        </w:rPr>
        <w:t>P</w:t>
      </w:r>
      <w:r w:rsidRPr="00C04A07">
        <w:rPr>
          <w:b/>
          <w:bCs/>
          <w:u w:val="single"/>
        </w:rPr>
        <w:t xml:space="preserve">rocédure de recours </w:t>
      </w:r>
    </w:p>
    <w:p w14:paraId="4EFD2F44" w14:textId="77777777" w:rsidR="00F0168B" w:rsidRPr="00C04A07" w:rsidRDefault="00773624" w:rsidP="00C04A07">
      <w:pPr>
        <w:spacing w:after="0" w:line="240" w:lineRule="auto"/>
        <w:rPr>
          <w:rFonts w:cstheme="minorHAnsi"/>
        </w:rPr>
      </w:pPr>
      <w:r w:rsidRPr="00C04A07">
        <w:rPr>
          <w:rFonts w:cstheme="minorHAnsi"/>
        </w:rPr>
        <w:t xml:space="preserve">Le tribunal territorialement compétent est : </w:t>
      </w:r>
    </w:p>
    <w:p w14:paraId="7758F6B7" w14:textId="77777777" w:rsidR="00C04A07" w:rsidRDefault="00C04A07" w:rsidP="00C04A07">
      <w:pPr>
        <w:spacing w:after="0" w:line="240" w:lineRule="auto"/>
        <w:rPr>
          <w:rFonts w:cstheme="minorHAnsi"/>
          <w:color w:val="333333"/>
        </w:rPr>
      </w:pPr>
    </w:p>
    <w:p w14:paraId="70135034" w14:textId="0A5EF13A" w:rsidR="00C04A07" w:rsidRPr="006B2ACA" w:rsidRDefault="00C04A07" w:rsidP="00C04A07">
      <w:pPr>
        <w:spacing w:after="0" w:line="240" w:lineRule="auto"/>
        <w:rPr>
          <w:rFonts w:cstheme="minorHAnsi"/>
        </w:rPr>
      </w:pPr>
      <w:r w:rsidRPr="006B2ACA">
        <w:rPr>
          <w:rFonts w:cstheme="minorHAnsi"/>
        </w:rPr>
        <w:t xml:space="preserve">Tribunal administratif de Pau </w:t>
      </w:r>
    </w:p>
    <w:p w14:paraId="6D575BAB" w14:textId="2AFDB09C" w:rsidR="00C04A07" w:rsidRPr="006B2ACA" w:rsidRDefault="00C04A07" w:rsidP="00C04A07">
      <w:pPr>
        <w:spacing w:after="0" w:line="240" w:lineRule="auto"/>
        <w:rPr>
          <w:rFonts w:cstheme="minorHAnsi"/>
        </w:rPr>
      </w:pPr>
      <w:r w:rsidRPr="006B2ACA">
        <w:rPr>
          <w:rFonts w:cstheme="minorHAnsi"/>
        </w:rPr>
        <w:t xml:space="preserve">Villa </w:t>
      </w:r>
      <w:proofErr w:type="spellStart"/>
      <w:r w:rsidRPr="006B2ACA">
        <w:rPr>
          <w:rFonts w:cstheme="minorHAnsi"/>
        </w:rPr>
        <w:t>Noulibos</w:t>
      </w:r>
      <w:proofErr w:type="spellEnd"/>
      <w:r w:rsidRPr="006B2ACA">
        <w:rPr>
          <w:rFonts w:cstheme="minorHAnsi"/>
        </w:rPr>
        <w:t xml:space="preserve"> - 50 cours Lyautey - CS 50543</w:t>
      </w:r>
      <w:r w:rsidRPr="006B2ACA">
        <w:rPr>
          <w:rFonts w:cstheme="minorHAnsi"/>
        </w:rPr>
        <w:br/>
        <w:t>64010</w:t>
      </w:r>
      <w:r w:rsidRPr="006B2ACA">
        <w:rPr>
          <w:rFonts w:cstheme="minorHAnsi"/>
          <w:shd w:val="clear" w:color="auto" w:fill="F0F0F0"/>
        </w:rPr>
        <w:t xml:space="preserve"> </w:t>
      </w:r>
      <w:r w:rsidRPr="006B2ACA">
        <w:rPr>
          <w:rFonts w:cstheme="minorHAnsi"/>
        </w:rPr>
        <w:t>Pau Cedex</w:t>
      </w:r>
    </w:p>
    <w:p w14:paraId="616D1A53" w14:textId="77777777" w:rsidR="00C04A07" w:rsidRPr="006B2ACA" w:rsidRDefault="00C04A07" w:rsidP="00C04A07">
      <w:pPr>
        <w:spacing w:after="0" w:line="240" w:lineRule="auto"/>
        <w:rPr>
          <w:rFonts w:cstheme="minorHAnsi"/>
        </w:rPr>
      </w:pPr>
    </w:p>
    <w:p w14:paraId="5C427C17" w14:textId="3197D133" w:rsidR="00773624" w:rsidRPr="00C04A07" w:rsidRDefault="00773624" w:rsidP="00C04A07">
      <w:pPr>
        <w:spacing w:after="0" w:line="240" w:lineRule="auto"/>
        <w:rPr>
          <w:rFonts w:cstheme="minorHAnsi"/>
        </w:rPr>
      </w:pPr>
      <w:r w:rsidRPr="00C04A07">
        <w:rPr>
          <w:rFonts w:cstheme="minorHAnsi"/>
        </w:rPr>
        <w:t xml:space="preserve">Service auprès duquel des renseignements peuvent être obtenus concernant l’introduction des recours </w:t>
      </w:r>
    </w:p>
    <w:p w14:paraId="1DCF937B" w14:textId="683CD904" w:rsidR="00773624" w:rsidRDefault="00773624" w:rsidP="0017518F">
      <w:pPr>
        <w:spacing w:after="0" w:line="240" w:lineRule="auto"/>
      </w:pPr>
      <w:r w:rsidRPr="00C04A07">
        <w:rPr>
          <w:rFonts w:cstheme="minorHAnsi"/>
        </w:rPr>
        <w:t xml:space="preserve">Cf le Tribunal Administratif à l’adresse ci-dessus. </w:t>
      </w:r>
    </w:p>
    <w:p w14:paraId="61A3FC9B" w14:textId="77777777" w:rsidR="00EC5544" w:rsidRDefault="00EC5544"/>
    <w:sectPr w:rsidR="00EC5544">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E4452" w14:textId="77777777" w:rsidR="00EA7E2A" w:rsidRDefault="00EA7E2A" w:rsidP="003419DF">
      <w:pPr>
        <w:spacing w:after="0" w:line="240" w:lineRule="auto"/>
      </w:pPr>
      <w:r>
        <w:separator/>
      </w:r>
    </w:p>
  </w:endnote>
  <w:endnote w:type="continuationSeparator" w:id="0">
    <w:p w14:paraId="0DFCE610" w14:textId="77777777" w:rsidR="00EA7E2A" w:rsidRDefault="00EA7E2A" w:rsidP="003419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DDAA01" w14:textId="73B1E8E0" w:rsidR="003419DF" w:rsidRPr="004208DB" w:rsidRDefault="003419DF" w:rsidP="003419DF">
    <w:pPr>
      <w:pStyle w:val="Pieddepage"/>
      <w:jc w:val="center"/>
      <w:rPr>
        <w:i/>
        <w:iCs/>
      </w:rPr>
    </w:pPr>
    <w:r w:rsidRPr="004208DB">
      <w:rPr>
        <w:i/>
        <w:iCs/>
      </w:rPr>
      <w:t xml:space="preserve">Office de Tourisme Pays </w:t>
    </w:r>
    <w:proofErr w:type="gramStart"/>
    <w:r w:rsidRPr="004208DB">
      <w:rPr>
        <w:i/>
        <w:iCs/>
      </w:rPr>
      <w:t>Basque</w:t>
    </w:r>
    <w:proofErr w:type="gramEnd"/>
  </w:p>
  <w:p w14:paraId="5E436B08" w14:textId="7C72627D" w:rsidR="003419DF" w:rsidRPr="004208DB" w:rsidRDefault="003419DF" w:rsidP="003419DF">
    <w:pPr>
      <w:pStyle w:val="Pieddepage"/>
      <w:jc w:val="center"/>
      <w:rPr>
        <w:i/>
        <w:iCs/>
      </w:rPr>
    </w:pPr>
    <w:r w:rsidRPr="004208DB">
      <w:rPr>
        <w:i/>
        <w:iCs/>
      </w:rPr>
      <w:t>Règlement de la consultation</w:t>
    </w:r>
  </w:p>
  <w:p w14:paraId="0B3FD802" w14:textId="0C7B3DA7" w:rsidR="003419DF" w:rsidRPr="003419DF" w:rsidRDefault="003419DF" w:rsidP="003419DF">
    <w:pPr>
      <w:pStyle w:val="Pieddepage"/>
      <w:jc w:val="center"/>
      <w:rPr>
        <w:b/>
        <w:bCs/>
      </w:rPr>
    </w:pPr>
    <w:r w:rsidRPr="004208DB">
      <w:rPr>
        <w:i/>
        <w:iCs/>
      </w:rPr>
      <w:tab/>
    </w:r>
    <w:r w:rsidR="00C403A3">
      <w:rPr>
        <w:i/>
        <w:iCs/>
      </w:rPr>
      <w:tab/>
    </w:r>
    <w:r w:rsidRPr="004208DB">
      <w:rPr>
        <w:i/>
        <w:iCs/>
      </w:rPr>
      <w:fldChar w:fldCharType="begin"/>
    </w:r>
    <w:r w:rsidRPr="004208DB">
      <w:rPr>
        <w:i/>
        <w:iCs/>
      </w:rPr>
      <w:instrText>PAGE   \* MERGEFORMAT</w:instrText>
    </w:r>
    <w:r w:rsidRPr="004208DB">
      <w:rPr>
        <w:i/>
        <w:iCs/>
      </w:rPr>
      <w:fldChar w:fldCharType="separate"/>
    </w:r>
    <w:r w:rsidRPr="004208DB">
      <w:rPr>
        <w:i/>
        <w:iCs/>
      </w:rPr>
      <w:t>1</w:t>
    </w:r>
    <w:r w:rsidRPr="004208DB">
      <w:rPr>
        <w:i/>
        <w:iCs/>
      </w:rPr>
      <w:fldChar w:fldCharType="end"/>
    </w:r>
    <w:r>
      <w:rPr>
        <w:b/>
        <w:bC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377665" w14:textId="77777777" w:rsidR="00EA7E2A" w:rsidRDefault="00EA7E2A" w:rsidP="003419DF">
      <w:pPr>
        <w:spacing w:after="0" w:line="240" w:lineRule="auto"/>
      </w:pPr>
      <w:r>
        <w:separator/>
      </w:r>
    </w:p>
  </w:footnote>
  <w:footnote w:type="continuationSeparator" w:id="0">
    <w:p w14:paraId="6E59ABBB" w14:textId="77777777" w:rsidR="00EA7E2A" w:rsidRDefault="00EA7E2A" w:rsidP="003419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072D6D"/>
    <w:multiLevelType w:val="multilevel"/>
    <w:tmpl w:val="D3E81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CC7BC0"/>
    <w:multiLevelType w:val="hybridMultilevel"/>
    <w:tmpl w:val="EE70CB6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E952230"/>
    <w:multiLevelType w:val="hybridMultilevel"/>
    <w:tmpl w:val="CCF08FB8"/>
    <w:lvl w:ilvl="0" w:tplc="03AC248E">
      <w:start w:val="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EE6D09"/>
    <w:multiLevelType w:val="hybridMultilevel"/>
    <w:tmpl w:val="6734D0B0"/>
    <w:lvl w:ilvl="0" w:tplc="040C0001">
      <w:start w:val="1"/>
      <w:numFmt w:val="bullet"/>
      <w:lvlText w:val=""/>
      <w:lvlJc w:val="left"/>
      <w:pPr>
        <w:ind w:left="720" w:hanging="360"/>
      </w:pPr>
      <w:rPr>
        <w:rFonts w:ascii="Symbol" w:hAnsi="Symbo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AEE416B"/>
    <w:multiLevelType w:val="hybridMultilevel"/>
    <w:tmpl w:val="23A61DDA"/>
    <w:lvl w:ilvl="0" w:tplc="8550F3BC">
      <w:start w:val="3"/>
      <w:numFmt w:val="decimal"/>
      <w:lvlText w:val="%1)"/>
      <w:lvlJc w:val="left"/>
      <w:pPr>
        <w:tabs>
          <w:tab w:val="num" w:pos="1065"/>
        </w:tabs>
        <w:ind w:left="1065" w:hanging="705"/>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1E003001"/>
    <w:multiLevelType w:val="hybridMultilevel"/>
    <w:tmpl w:val="8D406B9A"/>
    <w:lvl w:ilvl="0" w:tplc="4172FF4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CEA21EB"/>
    <w:multiLevelType w:val="multilevel"/>
    <w:tmpl w:val="B352F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5502906"/>
    <w:multiLevelType w:val="hybridMultilevel"/>
    <w:tmpl w:val="C0EA8574"/>
    <w:lvl w:ilvl="0" w:tplc="923A4DA2">
      <w:start w:val="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03C786C"/>
    <w:multiLevelType w:val="hybridMultilevel"/>
    <w:tmpl w:val="CF207362"/>
    <w:lvl w:ilvl="0" w:tplc="4172FF4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11500D8"/>
    <w:multiLevelType w:val="multilevel"/>
    <w:tmpl w:val="030E8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B716DF0"/>
    <w:multiLevelType w:val="multilevel"/>
    <w:tmpl w:val="DB3E6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06680686">
    <w:abstractNumId w:val="4"/>
  </w:num>
  <w:num w:numId="2" w16cid:durableId="826550669">
    <w:abstractNumId w:val="2"/>
  </w:num>
  <w:num w:numId="3" w16cid:durableId="362949796">
    <w:abstractNumId w:val="7"/>
  </w:num>
  <w:num w:numId="4" w16cid:durableId="981539015">
    <w:abstractNumId w:val="3"/>
  </w:num>
  <w:num w:numId="5" w16cid:durableId="1304702361">
    <w:abstractNumId w:val="8"/>
  </w:num>
  <w:num w:numId="6" w16cid:durableId="2126465002">
    <w:abstractNumId w:val="5"/>
  </w:num>
  <w:num w:numId="7" w16cid:durableId="154997920">
    <w:abstractNumId w:val="1"/>
  </w:num>
  <w:num w:numId="8" w16cid:durableId="1058362555">
    <w:abstractNumId w:val="9"/>
  </w:num>
  <w:num w:numId="9" w16cid:durableId="1566647573">
    <w:abstractNumId w:val="10"/>
  </w:num>
  <w:num w:numId="10" w16cid:durableId="487668324">
    <w:abstractNumId w:val="6"/>
  </w:num>
  <w:num w:numId="11" w16cid:durableId="3049663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3624"/>
    <w:rsid w:val="0000007A"/>
    <w:rsid w:val="0003152A"/>
    <w:rsid w:val="00050D73"/>
    <w:rsid w:val="000738BB"/>
    <w:rsid w:val="00081A73"/>
    <w:rsid w:val="000A73D8"/>
    <w:rsid w:val="000B18F8"/>
    <w:rsid w:val="000B4FBB"/>
    <w:rsid w:val="000E5F66"/>
    <w:rsid w:val="000F6571"/>
    <w:rsid w:val="0010368A"/>
    <w:rsid w:val="00121517"/>
    <w:rsid w:val="00137B6A"/>
    <w:rsid w:val="00165125"/>
    <w:rsid w:val="0017518F"/>
    <w:rsid w:val="001925D4"/>
    <w:rsid w:val="001C1C3E"/>
    <w:rsid w:val="001D24B8"/>
    <w:rsid w:val="001F0409"/>
    <w:rsid w:val="002031BE"/>
    <w:rsid w:val="00234735"/>
    <w:rsid w:val="002505EC"/>
    <w:rsid w:val="00292D0A"/>
    <w:rsid w:val="002B4A3F"/>
    <w:rsid w:val="002D2565"/>
    <w:rsid w:val="002E40C4"/>
    <w:rsid w:val="002F114F"/>
    <w:rsid w:val="00332C30"/>
    <w:rsid w:val="003419DF"/>
    <w:rsid w:val="00356267"/>
    <w:rsid w:val="003B6B1F"/>
    <w:rsid w:val="003E3FE4"/>
    <w:rsid w:val="004208DB"/>
    <w:rsid w:val="0043443C"/>
    <w:rsid w:val="004537A2"/>
    <w:rsid w:val="004C060B"/>
    <w:rsid w:val="0053134B"/>
    <w:rsid w:val="00535905"/>
    <w:rsid w:val="005760AB"/>
    <w:rsid w:val="005939CF"/>
    <w:rsid w:val="005B38D2"/>
    <w:rsid w:val="005D20B6"/>
    <w:rsid w:val="005D5029"/>
    <w:rsid w:val="005E6881"/>
    <w:rsid w:val="00603CE3"/>
    <w:rsid w:val="00622E65"/>
    <w:rsid w:val="00657594"/>
    <w:rsid w:val="006614E9"/>
    <w:rsid w:val="0067204A"/>
    <w:rsid w:val="0068049F"/>
    <w:rsid w:val="006B2ACA"/>
    <w:rsid w:val="006B7568"/>
    <w:rsid w:val="00715452"/>
    <w:rsid w:val="00720C9B"/>
    <w:rsid w:val="00744ACC"/>
    <w:rsid w:val="0074594E"/>
    <w:rsid w:val="00773624"/>
    <w:rsid w:val="0078196A"/>
    <w:rsid w:val="007859D8"/>
    <w:rsid w:val="00797DCE"/>
    <w:rsid w:val="007C30AC"/>
    <w:rsid w:val="007D186A"/>
    <w:rsid w:val="007F264E"/>
    <w:rsid w:val="00823E63"/>
    <w:rsid w:val="00827919"/>
    <w:rsid w:val="00873B9B"/>
    <w:rsid w:val="008C10E6"/>
    <w:rsid w:val="008E6506"/>
    <w:rsid w:val="008F5EFD"/>
    <w:rsid w:val="008F7348"/>
    <w:rsid w:val="00911A71"/>
    <w:rsid w:val="009215D8"/>
    <w:rsid w:val="00946688"/>
    <w:rsid w:val="009473D9"/>
    <w:rsid w:val="009676A5"/>
    <w:rsid w:val="00974BE0"/>
    <w:rsid w:val="00975FB8"/>
    <w:rsid w:val="009938D1"/>
    <w:rsid w:val="00994BAA"/>
    <w:rsid w:val="009A5B54"/>
    <w:rsid w:val="00A03B3E"/>
    <w:rsid w:val="00AB010D"/>
    <w:rsid w:val="00AF2707"/>
    <w:rsid w:val="00AF2EF8"/>
    <w:rsid w:val="00B968E7"/>
    <w:rsid w:val="00BF15EA"/>
    <w:rsid w:val="00C04A07"/>
    <w:rsid w:val="00C403A3"/>
    <w:rsid w:val="00C4225F"/>
    <w:rsid w:val="00C84EE9"/>
    <w:rsid w:val="00C909E8"/>
    <w:rsid w:val="00C94B87"/>
    <w:rsid w:val="00CC2BAC"/>
    <w:rsid w:val="00CE2826"/>
    <w:rsid w:val="00CE3D86"/>
    <w:rsid w:val="00CE7C7D"/>
    <w:rsid w:val="00D41945"/>
    <w:rsid w:val="00D47C6C"/>
    <w:rsid w:val="00D64450"/>
    <w:rsid w:val="00D7007F"/>
    <w:rsid w:val="00DC224B"/>
    <w:rsid w:val="00DD07C2"/>
    <w:rsid w:val="00DD7614"/>
    <w:rsid w:val="00DE2CDD"/>
    <w:rsid w:val="00DF6BBD"/>
    <w:rsid w:val="00E22398"/>
    <w:rsid w:val="00E32B8A"/>
    <w:rsid w:val="00E44855"/>
    <w:rsid w:val="00E73A99"/>
    <w:rsid w:val="00E91E77"/>
    <w:rsid w:val="00E972C7"/>
    <w:rsid w:val="00EA7E2A"/>
    <w:rsid w:val="00EC44E0"/>
    <w:rsid w:val="00EC5544"/>
    <w:rsid w:val="00ED18DF"/>
    <w:rsid w:val="00F0168B"/>
    <w:rsid w:val="00F0342F"/>
    <w:rsid w:val="00F038C7"/>
    <w:rsid w:val="00F406CE"/>
    <w:rsid w:val="00F76E2D"/>
    <w:rsid w:val="00F86645"/>
    <w:rsid w:val="00F91D14"/>
    <w:rsid w:val="00F95711"/>
    <w:rsid w:val="00FA00BA"/>
    <w:rsid w:val="00FA643F"/>
    <w:rsid w:val="00FC63F9"/>
    <w:rsid w:val="00FE0BE4"/>
    <w:rsid w:val="00FE766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9370BA"/>
  <w15:chartTrackingRefBased/>
  <w15:docId w15:val="{C41B815D-77CA-4271-A014-EA8FE3983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1C3E"/>
  </w:style>
  <w:style w:type="paragraph" w:styleId="Titre2">
    <w:name w:val="heading 2"/>
    <w:basedOn w:val="Normal"/>
    <w:next w:val="Normal"/>
    <w:link w:val="Titre2Car"/>
    <w:qFormat/>
    <w:rsid w:val="00DD7614"/>
    <w:pPr>
      <w:keepNext/>
      <w:spacing w:after="0" w:line="240" w:lineRule="auto"/>
      <w:outlineLvl w:val="1"/>
    </w:pPr>
    <w:rPr>
      <w:rFonts w:ascii="Times New Roman" w:eastAsia="Times New Roman" w:hAnsi="Times New Roman" w:cs="Times New Roman"/>
      <w:b/>
      <w:sz w:val="24"/>
      <w:szCs w:val="24"/>
      <w:u w:val="single"/>
      <w:lang w:eastAsia="fr-FR"/>
    </w:rPr>
  </w:style>
  <w:style w:type="paragraph" w:styleId="Titre3">
    <w:name w:val="heading 3"/>
    <w:basedOn w:val="Normal"/>
    <w:next w:val="Normal"/>
    <w:link w:val="Titre3Car"/>
    <w:uiPriority w:val="9"/>
    <w:semiHidden/>
    <w:unhideWhenUsed/>
    <w:qFormat/>
    <w:rsid w:val="0016512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semiHidden/>
    <w:unhideWhenUsed/>
    <w:qFormat/>
    <w:rsid w:val="007D186A"/>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rsid w:val="007D186A"/>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975FB8"/>
    <w:rPr>
      <w:color w:val="0563C1" w:themeColor="hyperlink"/>
      <w:u w:val="single"/>
    </w:rPr>
  </w:style>
  <w:style w:type="character" w:styleId="Mentionnonrsolue">
    <w:name w:val="Unresolved Mention"/>
    <w:basedOn w:val="Policepardfaut"/>
    <w:uiPriority w:val="99"/>
    <w:semiHidden/>
    <w:unhideWhenUsed/>
    <w:rsid w:val="00975FB8"/>
    <w:rPr>
      <w:color w:val="605E5C"/>
      <w:shd w:val="clear" w:color="auto" w:fill="E1DFDD"/>
    </w:rPr>
  </w:style>
  <w:style w:type="character" w:customStyle="1" w:styleId="Titre2Car">
    <w:name w:val="Titre 2 Car"/>
    <w:basedOn w:val="Policepardfaut"/>
    <w:link w:val="Titre2"/>
    <w:rsid w:val="00DD7614"/>
    <w:rPr>
      <w:rFonts w:ascii="Times New Roman" w:eastAsia="Times New Roman" w:hAnsi="Times New Roman" w:cs="Times New Roman"/>
      <w:b/>
      <w:sz w:val="24"/>
      <w:szCs w:val="24"/>
      <w:u w:val="single"/>
      <w:lang w:eastAsia="fr-FR"/>
    </w:rPr>
  </w:style>
  <w:style w:type="paragraph" w:styleId="Corpsdetexte">
    <w:name w:val="Body Text"/>
    <w:basedOn w:val="Normal"/>
    <w:link w:val="CorpsdetexteCar"/>
    <w:rsid w:val="00DD7614"/>
    <w:pPr>
      <w:spacing w:after="0" w:line="240" w:lineRule="auto"/>
      <w:jc w:val="both"/>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rsid w:val="00DD7614"/>
    <w:rPr>
      <w:rFonts w:ascii="Times New Roman" w:eastAsia="Times New Roman" w:hAnsi="Times New Roman" w:cs="Times New Roman"/>
      <w:sz w:val="24"/>
      <w:szCs w:val="24"/>
      <w:lang w:eastAsia="fr-FR"/>
    </w:rPr>
  </w:style>
  <w:style w:type="paragraph" w:styleId="Corpsdetexte2">
    <w:name w:val="Body Text 2"/>
    <w:basedOn w:val="Normal"/>
    <w:link w:val="Corpsdetexte2Car"/>
    <w:rsid w:val="00DD7614"/>
    <w:pPr>
      <w:spacing w:after="0" w:line="240" w:lineRule="auto"/>
      <w:jc w:val="both"/>
    </w:pPr>
    <w:rPr>
      <w:rFonts w:ascii="Times New Roman" w:eastAsia="Times New Roman" w:hAnsi="Times New Roman" w:cs="Times New Roman"/>
      <w:color w:val="3366FF"/>
      <w:sz w:val="24"/>
      <w:szCs w:val="24"/>
      <w:lang w:eastAsia="fr-FR"/>
    </w:rPr>
  </w:style>
  <w:style w:type="character" w:customStyle="1" w:styleId="Corpsdetexte2Car">
    <w:name w:val="Corps de texte 2 Car"/>
    <w:basedOn w:val="Policepardfaut"/>
    <w:link w:val="Corpsdetexte2"/>
    <w:rsid w:val="00DD7614"/>
    <w:rPr>
      <w:rFonts w:ascii="Times New Roman" w:eastAsia="Times New Roman" w:hAnsi="Times New Roman" w:cs="Times New Roman"/>
      <w:color w:val="3366FF"/>
      <w:sz w:val="24"/>
      <w:szCs w:val="24"/>
      <w:lang w:eastAsia="fr-FR"/>
    </w:rPr>
  </w:style>
  <w:style w:type="paragraph" w:styleId="Paragraphedeliste">
    <w:name w:val="List Paragraph"/>
    <w:basedOn w:val="Normal"/>
    <w:uiPriority w:val="34"/>
    <w:qFormat/>
    <w:rsid w:val="00D64450"/>
    <w:pPr>
      <w:ind w:left="720"/>
      <w:contextualSpacing/>
    </w:pPr>
  </w:style>
  <w:style w:type="paragraph" w:styleId="En-tte">
    <w:name w:val="header"/>
    <w:basedOn w:val="Normal"/>
    <w:link w:val="En-tteCar"/>
    <w:uiPriority w:val="99"/>
    <w:unhideWhenUsed/>
    <w:rsid w:val="003419DF"/>
    <w:pPr>
      <w:tabs>
        <w:tab w:val="center" w:pos="4536"/>
        <w:tab w:val="right" w:pos="9072"/>
      </w:tabs>
      <w:spacing w:after="0" w:line="240" w:lineRule="auto"/>
    </w:pPr>
  </w:style>
  <w:style w:type="character" w:customStyle="1" w:styleId="En-tteCar">
    <w:name w:val="En-tête Car"/>
    <w:basedOn w:val="Policepardfaut"/>
    <w:link w:val="En-tte"/>
    <w:uiPriority w:val="99"/>
    <w:rsid w:val="003419DF"/>
  </w:style>
  <w:style w:type="paragraph" w:styleId="Pieddepage">
    <w:name w:val="footer"/>
    <w:basedOn w:val="Normal"/>
    <w:link w:val="PieddepageCar"/>
    <w:uiPriority w:val="99"/>
    <w:unhideWhenUsed/>
    <w:rsid w:val="003419D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419DF"/>
  </w:style>
  <w:style w:type="character" w:customStyle="1" w:styleId="Titre4Car">
    <w:name w:val="Titre 4 Car"/>
    <w:basedOn w:val="Policepardfaut"/>
    <w:link w:val="Titre4"/>
    <w:uiPriority w:val="9"/>
    <w:semiHidden/>
    <w:rsid w:val="007D186A"/>
    <w:rPr>
      <w:rFonts w:asciiTheme="majorHAnsi" w:eastAsiaTheme="majorEastAsia" w:hAnsiTheme="majorHAnsi" w:cstheme="majorBidi"/>
      <w:i/>
      <w:iCs/>
      <w:color w:val="2F5496" w:themeColor="accent1" w:themeShade="BF"/>
    </w:rPr>
  </w:style>
  <w:style w:type="character" w:customStyle="1" w:styleId="Titre5Car">
    <w:name w:val="Titre 5 Car"/>
    <w:basedOn w:val="Policepardfaut"/>
    <w:link w:val="Titre5"/>
    <w:uiPriority w:val="9"/>
    <w:semiHidden/>
    <w:rsid w:val="007D186A"/>
    <w:rPr>
      <w:rFonts w:asciiTheme="majorHAnsi" w:eastAsiaTheme="majorEastAsia" w:hAnsiTheme="majorHAnsi" w:cstheme="majorBidi"/>
      <w:color w:val="2F5496" w:themeColor="accent1" w:themeShade="BF"/>
    </w:rPr>
  </w:style>
  <w:style w:type="paragraph" w:customStyle="1" w:styleId="Cadrerelief">
    <w:name w:val="Cadre_relief"/>
    <w:basedOn w:val="Normal"/>
    <w:rsid w:val="007D186A"/>
    <w:pPr>
      <w:pBdr>
        <w:top w:val="double" w:sz="6" w:space="14" w:color="auto" w:shadow="1"/>
        <w:left w:val="double" w:sz="6" w:space="14" w:color="auto" w:shadow="1"/>
        <w:bottom w:val="double" w:sz="6" w:space="14" w:color="auto" w:shadow="1"/>
        <w:right w:val="double" w:sz="6" w:space="14" w:color="auto" w:shadow="1"/>
      </w:pBdr>
      <w:overflowPunct w:val="0"/>
      <w:autoSpaceDE w:val="0"/>
      <w:autoSpaceDN w:val="0"/>
      <w:adjustRightInd w:val="0"/>
      <w:spacing w:after="0" w:line="240" w:lineRule="auto"/>
      <w:ind w:left="284" w:right="283"/>
      <w:jc w:val="both"/>
      <w:textAlignment w:val="baseline"/>
    </w:pPr>
    <w:rPr>
      <w:rFonts w:ascii="Times New Roman" w:eastAsia="Times New Roman" w:hAnsi="Times New Roman" w:cs="Times New Roman"/>
      <w:sz w:val="24"/>
      <w:szCs w:val="20"/>
      <w:lang w:eastAsia="fr-FR"/>
    </w:rPr>
  </w:style>
  <w:style w:type="paragraph" w:customStyle="1" w:styleId="Reponse">
    <w:name w:val="Reponse"/>
    <w:basedOn w:val="Normal"/>
    <w:rsid w:val="007D186A"/>
    <w:pPr>
      <w:overflowPunct w:val="0"/>
      <w:autoSpaceDE w:val="0"/>
      <w:autoSpaceDN w:val="0"/>
      <w:adjustRightInd w:val="0"/>
      <w:spacing w:after="0" w:line="240" w:lineRule="auto"/>
      <w:ind w:left="567" w:right="567"/>
      <w:jc w:val="both"/>
      <w:textAlignment w:val="baseline"/>
    </w:pPr>
    <w:rPr>
      <w:rFonts w:ascii="Times New Roman" w:eastAsia="Times New Roman" w:hAnsi="Times New Roman" w:cs="Times New Roman"/>
      <w:sz w:val="24"/>
      <w:szCs w:val="20"/>
      <w:lang w:eastAsia="fr-FR"/>
    </w:rPr>
  </w:style>
  <w:style w:type="table" w:styleId="Grilledutableau">
    <w:name w:val="Table Grid"/>
    <w:basedOn w:val="TableauNormal"/>
    <w:uiPriority w:val="39"/>
    <w:rsid w:val="007D18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F76E2D"/>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6B2AC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B2ACA"/>
    <w:rPr>
      <w:rFonts w:ascii="Segoe UI" w:hAnsi="Segoe UI" w:cs="Segoe UI"/>
      <w:sz w:val="18"/>
      <w:szCs w:val="18"/>
    </w:rPr>
  </w:style>
  <w:style w:type="character" w:customStyle="1" w:styleId="Titre3Car">
    <w:name w:val="Titre 3 Car"/>
    <w:basedOn w:val="Policepardfaut"/>
    <w:link w:val="Titre3"/>
    <w:uiPriority w:val="9"/>
    <w:semiHidden/>
    <w:rsid w:val="00165125"/>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50618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marchespublics-aquitaine.org/agen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landron@otpaysbasque.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forget@otpaysbasque.com" TargetMode="External"/><Relationship Id="rId5" Type="http://schemas.openxmlformats.org/officeDocument/2006/relationships/styles" Target="styles.xml"/><Relationship Id="rId15" Type="http://schemas.openxmlformats.org/officeDocument/2006/relationships/hyperlink" Target="https://demat-ampa.fr" TargetMode="Externa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marchespublics-aquitaine.org/agen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3A7552455A1764DA011A711DEA1B476" ma:contentTypeVersion="4" ma:contentTypeDescription="Crée un document." ma:contentTypeScope="" ma:versionID="d76a7106b1a33000e33cd3dce6082c97">
  <xsd:schema xmlns:xsd="http://www.w3.org/2001/XMLSchema" xmlns:xs="http://www.w3.org/2001/XMLSchema" xmlns:p="http://schemas.microsoft.com/office/2006/metadata/properties" xmlns:ns2="91d900e2-ce5d-4d53-a184-c7f679253881" targetNamespace="http://schemas.microsoft.com/office/2006/metadata/properties" ma:root="true" ma:fieldsID="07c89528224962ebba1d049a9e2c5521" ns2:_="">
    <xsd:import namespace="91d900e2-ce5d-4d53-a184-c7f67925388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d900e2-ce5d-4d53-a184-c7f679253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4951E9-E49A-4558-AAE7-9EF5D8A54358}">
  <ds:schemaRefs>
    <ds:schemaRef ds:uri="http://schemas.microsoft.com/sharepoint/v3/contenttype/forms"/>
  </ds:schemaRefs>
</ds:datastoreItem>
</file>

<file path=customXml/itemProps2.xml><?xml version="1.0" encoding="utf-8"?>
<ds:datastoreItem xmlns:ds="http://schemas.openxmlformats.org/officeDocument/2006/customXml" ds:itemID="{866A5CD7-CCAB-48FB-BE47-9D2A5F69A52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B63AE8E-DB07-4B4E-AAEC-0AAA79F609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d900e2-ce5d-4d53-a184-c7f6792538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2177</Words>
  <Characters>11974</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Frédérique LANDRON</dc:creator>
  <cp:keywords/>
  <dc:description/>
  <cp:lastModifiedBy>Frédérique LANDRON</cp:lastModifiedBy>
  <cp:revision>6</cp:revision>
  <cp:lastPrinted>2020-08-10T09:51:00Z</cp:lastPrinted>
  <dcterms:created xsi:type="dcterms:W3CDTF">2025-09-15T11:52:00Z</dcterms:created>
  <dcterms:modified xsi:type="dcterms:W3CDTF">2025-09-18T05:55:00Z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0x010100F3A7552455A1764DA011A711DEA1B476</vt:lpwstr>
  </property>
</Properties>
</file>